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4A" w:rsidRDefault="00DD5D4A"/>
    <w:p w:rsidR="00DD5D4A" w:rsidRDefault="00DD5D4A"/>
    <w:p w:rsidR="00DD5D4A" w:rsidRPr="00AE0548" w:rsidRDefault="00DD5D4A" w:rsidP="00DE2069">
      <w:pPr>
        <w:snapToGrid w:val="0"/>
        <w:spacing w:line="360" w:lineRule="auto"/>
        <w:ind w:firstLineChars="350" w:firstLine="1260"/>
        <w:rPr>
          <w:rFonts w:ascii="方正小标宋_GBK" w:eastAsia="方正小标宋_GBK"/>
          <w:sz w:val="36"/>
          <w:szCs w:val="36"/>
        </w:rPr>
      </w:pPr>
      <w:r>
        <w:rPr>
          <w:rFonts w:ascii="方正小标宋_GBK" w:eastAsia="方正小标宋_GBK" w:hint="eastAsia"/>
          <w:sz w:val="36"/>
          <w:szCs w:val="36"/>
        </w:rPr>
        <w:t>扬中市人民法院</w:t>
      </w:r>
      <w:r>
        <w:rPr>
          <w:rFonts w:ascii="方正小标宋_GBK" w:eastAsia="方正小标宋_GBK"/>
          <w:sz w:val="36"/>
          <w:szCs w:val="36"/>
        </w:rPr>
        <w:t>2014</w:t>
      </w:r>
      <w:r w:rsidRPr="00AE0548">
        <w:rPr>
          <w:rFonts w:ascii="方正小标宋_GBK" w:eastAsia="方正小标宋_GBK" w:hint="eastAsia"/>
          <w:sz w:val="36"/>
          <w:szCs w:val="36"/>
        </w:rPr>
        <w:t>年部门决算</w:t>
      </w:r>
    </w:p>
    <w:p w:rsidR="00DD5D4A" w:rsidRPr="00CB016A" w:rsidRDefault="00DD5D4A" w:rsidP="000B060A">
      <w:pPr>
        <w:jc w:val="center"/>
        <w:rPr>
          <w:rFonts w:ascii="宋体" w:hAnsi="宋体"/>
          <w:b/>
          <w:sz w:val="36"/>
          <w:szCs w:val="36"/>
        </w:rPr>
      </w:pPr>
    </w:p>
    <w:p w:rsidR="00DD5D4A" w:rsidRDefault="00DD5D4A" w:rsidP="00167920">
      <w:pPr>
        <w:numPr>
          <w:ilvl w:val="0"/>
          <w:numId w:val="4"/>
        </w:numPr>
        <w:spacing w:line="560" w:lineRule="exact"/>
        <w:rPr>
          <w:rFonts w:ascii="黑体" w:eastAsia="黑体" w:hAnsi="黑体" w:hint="eastAsia"/>
          <w:sz w:val="32"/>
          <w:szCs w:val="32"/>
        </w:rPr>
      </w:pPr>
      <w:r w:rsidRPr="00CB016A">
        <w:rPr>
          <w:rFonts w:ascii="黑体" w:eastAsia="黑体" w:hAnsi="黑体" w:hint="eastAsia"/>
          <w:sz w:val="32"/>
          <w:szCs w:val="32"/>
        </w:rPr>
        <w:t>部门概况</w:t>
      </w:r>
    </w:p>
    <w:p w:rsidR="00CB016A" w:rsidRPr="00CB016A" w:rsidRDefault="00CB016A" w:rsidP="00167920">
      <w:pPr>
        <w:spacing w:line="560" w:lineRule="exact"/>
        <w:rPr>
          <w:rFonts w:ascii="仿宋" w:eastAsia="仿宋" w:hAnsi="仿宋"/>
          <w:sz w:val="32"/>
          <w:szCs w:val="32"/>
        </w:rPr>
      </w:pPr>
      <w:r>
        <w:rPr>
          <w:rFonts w:ascii="仿宋" w:eastAsia="仿宋" w:hAnsi="仿宋" w:hint="eastAsia"/>
          <w:sz w:val="32"/>
          <w:szCs w:val="32"/>
        </w:rPr>
        <w:t xml:space="preserve">    </w:t>
      </w:r>
      <w:r w:rsidRPr="00CB016A">
        <w:rPr>
          <w:rFonts w:ascii="仿宋" w:eastAsia="仿宋" w:hAnsi="仿宋" w:hint="eastAsia"/>
          <w:sz w:val="32"/>
          <w:szCs w:val="32"/>
        </w:rPr>
        <w:t>扬中市人民法院现有干警183人,其中中央政法专项编制86人，地方事业编制34人，社会化用工13人，临时招聘50人，内设17个部门。</w:t>
      </w:r>
    </w:p>
    <w:p w:rsidR="00DD5D4A" w:rsidRPr="00CB016A" w:rsidRDefault="00CB016A" w:rsidP="00167920">
      <w:pPr>
        <w:spacing w:line="560" w:lineRule="exact"/>
        <w:ind w:firstLineChars="200" w:firstLine="640"/>
        <w:rPr>
          <w:rFonts w:ascii="华文楷体" w:eastAsia="华文楷体" w:hAnsi="华文楷体"/>
          <w:sz w:val="32"/>
          <w:szCs w:val="32"/>
        </w:rPr>
      </w:pPr>
      <w:r>
        <w:rPr>
          <w:rFonts w:ascii="华文楷体" w:eastAsia="华文楷体" w:hAnsi="华文楷体" w:hint="eastAsia"/>
          <w:sz w:val="32"/>
          <w:szCs w:val="32"/>
        </w:rPr>
        <w:t>（一）</w:t>
      </w:r>
      <w:r w:rsidR="00DD5D4A" w:rsidRPr="00CB016A">
        <w:rPr>
          <w:rFonts w:ascii="华文楷体" w:eastAsia="华文楷体" w:hAnsi="华文楷体" w:hint="eastAsia"/>
          <w:sz w:val="32"/>
          <w:szCs w:val="32"/>
        </w:rPr>
        <w:t>主要职能</w:t>
      </w:r>
    </w:p>
    <w:p w:rsidR="00DE2069" w:rsidRPr="00CB016A" w:rsidRDefault="00DE2069" w:rsidP="00167920">
      <w:pPr>
        <w:pStyle w:val="Default"/>
        <w:spacing w:line="560" w:lineRule="exact"/>
        <w:ind w:firstLine="630"/>
        <w:rPr>
          <w:rFonts w:ascii="仿宋" w:eastAsia="仿宋" w:hAnsi="仿宋" w:cs="Times New Roman" w:hint="eastAsia"/>
          <w:color w:val="auto"/>
          <w:kern w:val="2"/>
          <w:sz w:val="32"/>
          <w:szCs w:val="32"/>
        </w:rPr>
      </w:pPr>
      <w:r w:rsidRPr="00CB016A">
        <w:rPr>
          <w:rFonts w:ascii="仿宋" w:eastAsia="仿宋" w:hAnsi="仿宋" w:cs="Times New Roman"/>
          <w:color w:val="auto"/>
          <w:kern w:val="2"/>
          <w:sz w:val="32"/>
          <w:szCs w:val="32"/>
        </w:rPr>
        <w:t>1</w:t>
      </w:r>
      <w:r w:rsidRPr="00CB016A">
        <w:rPr>
          <w:rFonts w:ascii="仿宋" w:eastAsia="仿宋" w:hAnsi="仿宋" w:cs="Times New Roman" w:hint="eastAsia"/>
          <w:color w:val="auto"/>
          <w:kern w:val="2"/>
          <w:sz w:val="32"/>
          <w:szCs w:val="32"/>
        </w:rPr>
        <w:t>、依法审理法律规定由基层人民法院管辖、中级人民法院指定管辖或者认为应当由本院审理的刑事、民事、行政等一审案件。</w:t>
      </w:r>
    </w:p>
    <w:p w:rsidR="00DE2069" w:rsidRPr="00CB016A" w:rsidRDefault="00DE2069" w:rsidP="00167920">
      <w:pPr>
        <w:pStyle w:val="Default"/>
        <w:spacing w:line="560" w:lineRule="exact"/>
        <w:ind w:firstLine="630"/>
        <w:rPr>
          <w:rFonts w:ascii="仿宋" w:eastAsia="仿宋" w:hAnsi="仿宋" w:cs="Times New Roman" w:hint="eastAsia"/>
          <w:color w:val="auto"/>
          <w:kern w:val="2"/>
          <w:sz w:val="32"/>
          <w:szCs w:val="32"/>
        </w:rPr>
      </w:pPr>
      <w:r w:rsidRPr="00CB016A">
        <w:rPr>
          <w:rFonts w:ascii="仿宋" w:eastAsia="仿宋" w:hAnsi="仿宋" w:cs="Times New Roman"/>
          <w:color w:val="auto"/>
          <w:kern w:val="2"/>
          <w:sz w:val="32"/>
          <w:szCs w:val="32"/>
        </w:rPr>
        <w:t>2</w:t>
      </w:r>
      <w:r w:rsidRPr="00CB016A">
        <w:rPr>
          <w:rFonts w:ascii="仿宋" w:eastAsia="仿宋" w:hAnsi="仿宋" w:cs="Times New Roman" w:hint="eastAsia"/>
          <w:color w:val="auto"/>
          <w:kern w:val="2"/>
          <w:sz w:val="32"/>
          <w:szCs w:val="32"/>
        </w:rPr>
        <w:t>、依法审理中级人民法院指定再审的案件。受理当事人不服本院发生法律效力的判决、裁定并提起申诉的刑事、行政诉讼案件。</w:t>
      </w:r>
    </w:p>
    <w:p w:rsidR="00DE2069" w:rsidRPr="00CB016A" w:rsidRDefault="00DE2069" w:rsidP="00167920">
      <w:pPr>
        <w:pStyle w:val="Default"/>
        <w:spacing w:line="560" w:lineRule="exact"/>
        <w:ind w:firstLine="630"/>
        <w:rPr>
          <w:rFonts w:ascii="仿宋" w:eastAsia="仿宋" w:hAnsi="仿宋" w:cs="Times New Roman" w:hint="eastAsia"/>
          <w:color w:val="auto"/>
          <w:kern w:val="2"/>
          <w:sz w:val="32"/>
          <w:szCs w:val="32"/>
        </w:rPr>
      </w:pPr>
      <w:r w:rsidRPr="00CB016A">
        <w:rPr>
          <w:rFonts w:ascii="仿宋" w:eastAsia="仿宋" w:hAnsi="仿宋" w:cs="Times New Roman"/>
          <w:color w:val="auto"/>
          <w:kern w:val="2"/>
          <w:sz w:val="32"/>
          <w:szCs w:val="32"/>
        </w:rPr>
        <w:t>3</w:t>
      </w:r>
      <w:r w:rsidRPr="00CB016A">
        <w:rPr>
          <w:rFonts w:ascii="仿宋" w:eastAsia="仿宋" w:hAnsi="仿宋" w:cs="Times New Roman" w:hint="eastAsia"/>
          <w:color w:val="auto"/>
          <w:kern w:val="2"/>
          <w:sz w:val="32"/>
          <w:szCs w:val="32"/>
        </w:rPr>
        <w:t>、依法行使执行权和司法决定权。</w:t>
      </w:r>
      <w:r w:rsidRPr="00CB016A">
        <w:rPr>
          <w:rFonts w:ascii="仿宋" w:eastAsia="仿宋" w:hAnsi="仿宋" w:cs="Times New Roman"/>
          <w:color w:val="auto"/>
          <w:kern w:val="2"/>
          <w:sz w:val="32"/>
          <w:szCs w:val="32"/>
        </w:rPr>
        <w:t xml:space="preserve"> </w:t>
      </w:r>
    </w:p>
    <w:p w:rsidR="00DE2069" w:rsidRPr="00CB016A" w:rsidRDefault="00DE2069" w:rsidP="00167920">
      <w:pPr>
        <w:pStyle w:val="Default"/>
        <w:spacing w:line="560" w:lineRule="exact"/>
        <w:ind w:firstLine="630"/>
        <w:rPr>
          <w:rFonts w:ascii="仿宋" w:eastAsia="仿宋" w:hAnsi="仿宋" w:cs="Times New Roman" w:hint="eastAsia"/>
          <w:color w:val="auto"/>
          <w:kern w:val="2"/>
          <w:sz w:val="32"/>
          <w:szCs w:val="32"/>
        </w:rPr>
      </w:pPr>
      <w:r w:rsidRPr="00CB016A">
        <w:rPr>
          <w:rFonts w:ascii="仿宋" w:eastAsia="仿宋" w:hAnsi="仿宋" w:cs="Times New Roman"/>
          <w:color w:val="auto"/>
          <w:kern w:val="2"/>
          <w:sz w:val="32"/>
          <w:szCs w:val="32"/>
        </w:rPr>
        <w:t>4</w:t>
      </w:r>
      <w:r w:rsidRPr="00CB016A">
        <w:rPr>
          <w:rFonts w:ascii="仿宋" w:eastAsia="仿宋" w:hAnsi="仿宋" w:cs="Times New Roman" w:hint="eastAsia"/>
          <w:color w:val="auto"/>
          <w:kern w:val="2"/>
          <w:sz w:val="32"/>
          <w:szCs w:val="32"/>
        </w:rPr>
        <w:t>、结合审判执行工作实际，对案件审理中发现的问题提出司法建议。</w:t>
      </w:r>
      <w:r w:rsidRPr="00CB016A">
        <w:rPr>
          <w:rFonts w:ascii="仿宋" w:eastAsia="仿宋" w:hAnsi="仿宋" w:cs="Times New Roman"/>
          <w:color w:val="auto"/>
          <w:kern w:val="2"/>
          <w:sz w:val="32"/>
          <w:szCs w:val="32"/>
        </w:rPr>
        <w:t xml:space="preserve"> </w:t>
      </w:r>
    </w:p>
    <w:p w:rsidR="00DE2069" w:rsidRPr="00CB016A" w:rsidRDefault="00DE2069" w:rsidP="00167920">
      <w:pPr>
        <w:pStyle w:val="Default"/>
        <w:spacing w:line="560" w:lineRule="exact"/>
        <w:ind w:firstLine="630"/>
        <w:rPr>
          <w:rFonts w:ascii="仿宋" w:eastAsia="仿宋" w:hAnsi="仿宋" w:cs="Times New Roman" w:hint="eastAsia"/>
          <w:color w:val="auto"/>
          <w:kern w:val="2"/>
          <w:sz w:val="32"/>
          <w:szCs w:val="32"/>
        </w:rPr>
      </w:pPr>
      <w:r w:rsidRPr="00CB016A">
        <w:rPr>
          <w:rFonts w:ascii="仿宋" w:eastAsia="仿宋" w:hAnsi="仿宋" w:cs="Times New Roman"/>
          <w:color w:val="auto"/>
          <w:kern w:val="2"/>
          <w:sz w:val="32"/>
          <w:szCs w:val="32"/>
        </w:rPr>
        <w:t>5</w:t>
      </w:r>
      <w:r w:rsidRPr="00CB016A">
        <w:rPr>
          <w:rFonts w:ascii="仿宋" w:eastAsia="仿宋" w:hAnsi="仿宋" w:cs="Times New Roman" w:hint="eastAsia"/>
          <w:color w:val="auto"/>
          <w:kern w:val="2"/>
          <w:sz w:val="32"/>
          <w:szCs w:val="32"/>
        </w:rPr>
        <w:t>、指导基层法庭工作。</w:t>
      </w:r>
      <w:r w:rsidRPr="00CB016A">
        <w:rPr>
          <w:rFonts w:ascii="仿宋" w:eastAsia="仿宋" w:hAnsi="仿宋" w:cs="Times New Roman"/>
          <w:color w:val="auto"/>
          <w:kern w:val="2"/>
          <w:sz w:val="32"/>
          <w:szCs w:val="32"/>
        </w:rPr>
        <w:t xml:space="preserve"> </w:t>
      </w:r>
    </w:p>
    <w:p w:rsidR="00DE2069" w:rsidRPr="00CB016A" w:rsidRDefault="00DE2069" w:rsidP="00167920">
      <w:pPr>
        <w:pStyle w:val="Default"/>
        <w:spacing w:line="560" w:lineRule="exact"/>
        <w:ind w:firstLine="630"/>
        <w:rPr>
          <w:rFonts w:ascii="仿宋" w:eastAsia="仿宋" w:hAnsi="仿宋" w:cs="Times New Roman" w:hint="eastAsia"/>
          <w:color w:val="auto"/>
          <w:kern w:val="2"/>
          <w:sz w:val="32"/>
          <w:szCs w:val="32"/>
        </w:rPr>
      </w:pPr>
      <w:r w:rsidRPr="00CB016A">
        <w:rPr>
          <w:rFonts w:ascii="仿宋" w:eastAsia="仿宋" w:hAnsi="仿宋" w:cs="Times New Roman"/>
          <w:color w:val="auto"/>
          <w:kern w:val="2"/>
          <w:sz w:val="32"/>
          <w:szCs w:val="32"/>
        </w:rPr>
        <w:t>6</w:t>
      </w:r>
      <w:r w:rsidRPr="00CB016A">
        <w:rPr>
          <w:rFonts w:ascii="仿宋" w:eastAsia="仿宋" w:hAnsi="仿宋" w:cs="Times New Roman" w:hint="eastAsia"/>
          <w:color w:val="auto"/>
          <w:kern w:val="2"/>
          <w:sz w:val="32"/>
          <w:szCs w:val="32"/>
        </w:rPr>
        <w:t>、负责全院的思想政治、教育培训工作和干部管理工作。</w:t>
      </w:r>
      <w:r w:rsidRPr="00CB016A">
        <w:rPr>
          <w:rFonts w:ascii="仿宋" w:eastAsia="仿宋" w:hAnsi="仿宋" w:cs="Times New Roman"/>
          <w:color w:val="auto"/>
          <w:kern w:val="2"/>
          <w:sz w:val="32"/>
          <w:szCs w:val="32"/>
        </w:rPr>
        <w:t xml:space="preserve"> </w:t>
      </w:r>
    </w:p>
    <w:p w:rsidR="00DE2069" w:rsidRPr="00CB016A" w:rsidRDefault="00DE2069" w:rsidP="00167920">
      <w:pPr>
        <w:pStyle w:val="Default"/>
        <w:spacing w:line="560" w:lineRule="exact"/>
        <w:ind w:firstLine="630"/>
        <w:rPr>
          <w:rFonts w:ascii="仿宋" w:eastAsia="仿宋" w:hAnsi="仿宋" w:cs="Times New Roman" w:hint="eastAsia"/>
          <w:color w:val="auto"/>
          <w:kern w:val="2"/>
          <w:sz w:val="32"/>
          <w:szCs w:val="32"/>
        </w:rPr>
      </w:pPr>
      <w:r w:rsidRPr="00CB016A">
        <w:rPr>
          <w:rFonts w:ascii="仿宋" w:eastAsia="仿宋" w:hAnsi="仿宋" w:cs="Times New Roman"/>
          <w:color w:val="auto"/>
          <w:kern w:val="2"/>
          <w:sz w:val="32"/>
          <w:szCs w:val="32"/>
        </w:rPr>
        <w:t>7</w:t>
      </w:r>
      <w:r w:rsidRPr="00CB016A">
        <w:rPr>
          <w:rFonts w:ascii="仿宋" w:eastAsia="仿宋" w:hAnsi="仿宋" w:cs="Times New Roman" w:hint="eastAsia"/>
          <w:color w:val="auto"/>
          <w:kern w:val="2"/>
          <w:sz w:val="32"/>
          <w:szCs w:val="32"/>
        </w:rPr>
        <w:t>、负责全院财务、专项投资的计划管理及分配。</w:t>
      </w:r>
      <w:r w:rsidRPr="00CB016A">
        <w:rPr>
          <w:rFonts w:ascii="仿宋" w:eastAsia="仿宋" w:hAnsi="仿宋" w:cs="Times New Roman"/>
          <w:color w:val="auto"/>
          <w:kern w:val="2"/>
          <w:sz w:val="32"/>
          <w:szCs w:val="32"/>
        </w:rPr>
        <w:t xml:space="preserve"> </w:t>
      </w:r>
    </w:p>
    <w:p w:rsidR="00DE2069" w:rsidRPr="00CB016A" w:rsidRDefault="00DE2069" w:rsidP="00167920">
      <w:pPr>
        <w:pStyle w:val="Default"/>
        <w:spacing w:line="560" w:lineRule="exact"/>
        <w:ind w:firstLine="630"/>
        <w:rPr>
          <w:rFonts w:ascii="仿宋" w:eastAsia="仿宋" w:hAnsi="仿宋" w:cs="Times New Roman"/>
          <w:color w:val="auto"/>
          <w:kern w:val="2"/>
          <w:sz w:val="32"/>
          <w:szCs w:val="32"/>
        </w:rPr>
      </w:pPr>
      <w:r w:rsidRPr="00CB016A">
        <w:rPr>
          <w:rFonts w:ascii="仿宋" w:eastAsia="仿宋" w:hAnsi="仿宋" w:cs="Times New Roman"/>
          <w:color w:val="auto"/>
          <w:kern w:val="2"/>
          <w:sz w:val="32"/>
          <w:szCs w:val="32"/>
        </w:rPr>
        <w:t>8</w:t>
      </w:r>
      <w:r w:rsidRPr="00CB016A">
        <w:rPr>
          <w:rFonts w:ascii="仿宋" w:eastAsia="仿宋" w:hAnsi="仿宋" w:cs="Times New Roman" w:hint="eastAsia"/>
          <w:color w:val="auto"/>
          <w:kern w:val="2"/>
          <w:sz w:val="32"/>
          <w:szCs w:val="32"/>
        </w:rPr>
        <w:t>、负责全院的监察工作。</w:t>
      </w:r>
      <w:r w:rsidRPr="00CB016A">
        <w:rPr>
          <w:rFonts w:ascii="仿宋" w:eastAsia="仿宋" w:hAnsi="仿宋" w:cs="Times New Roman"/>
          <w:color w:val="auto"/>
          <w:kern w:val="2"/>
          <w:sz w:val="32"/>
          <w:szCs w:val="32"/>
        </w:rPr>
        <w:t xml:space="preserve"> </w:t>
      </w:r>
    </w:p>
    <w:p w:rsidR="00DE2069" w:rsidRPr="00CB016A" w:rsidRDefault="00DE2069" w:rsidP="00167920">
      <w:pPr>
        <w:spacing w:line="560" w:lineRule="exact"/>
        <w:ind w:firstLineChars="200" w:firstLine="640"/>
        <w:rPr>
          <w:rFonts w:ascii="仿宋" w:eastAsia="仿宋" w:hAnsi="仿宋" w:hint="eastAsia"/>
          <w:sz w:val="32"/>
          <w:szCs w:val="32"/>
        </w:rPr>
      </w:pPr>
      <w:r w:rsidRPr="00CB016A">
        <w:rPr>
          <w:rFonts w:ascii="仿宋" w:eastAsia="仿宋" w:hAnsi="仿宋"/>
          <w:sz w:val="32"/>
          <w:szCs w:val="32"/>
        </w:rPr>
        <w:t>9</w:t>
      </w:r>
      <w:r w:rsidRPr="00CB016A">
        <w:rPr>
          <w:rFonts w:ascii="仿宋" w:eastAsia="仿宋" w:hAnsi="仿宋" w:hint="eastAsia"/>
          <w:sz w:val="32"/>
          <w:szCs w:val="32"/>
        </w:rPr>
        <w:t>、管理司法警察工作。</w:t>
      </w:r>
      <w:r w:rsidRPr="00CB016A">
        <w:rPr>
          <w:rFonts w:ascii="仿宋" w:eastAsia="仿宋" w:hAnsi="仿宋"/>
          <w:sz w:val="32"/>
          <w:szCs w:val="32"/>
        </w:rPr>
        <w:t xml:space="preserve"> </w:t>
      </w:r>
    </w:p>
    <w:p w:rsidR="00DE2069" w:rsidRPr="00CB016A" w:rsidRDefault="00DE2069" w:rsidP="00167920">
      <w:pPr>
        <w:spacing w:line="560" w:lineRule="exact"/>
        <w:ind w:firstLineChars="200" w:firstLine="640"/>
        <w:rPr>
          <w:rFonts w:ascii="仿宋" w:eastAsia="仿宋" w:hAnsi="仿宋" w:hint="eastAsia"/>
          <w:sz w:val="32"/>
          <w:szCs w:val="32"/>
        </w:rPr>
      </w:pPr>
      <w:r w:rsidRPr="00CB016A">
        <w:rPr>
          <w:rFonts w:ascii="仿宋" w:eastAsia="仿宋" w:hAnsi="仿宋"/>
          <w:sz w:val="32"/>
          <w:szCs w:val="32"/>
        </w:rPr>
        <w:t>10</w:t>
      </w:r>
      <w:r w:rsidRPr="00CB016A">
        <w:rPr>
          <w:rFonts w:ascii="仿宋" w:eastAsia="仿宋" w:hAnsi="仿宋" w:hint="eastAsia"/>
          <w:sz w:val="32"/>
          <w:szCs w:val="32"/>
        </w:rPr>
        <w:t>、做好本院行政、后勤事业管理和服务工作。</w:t>
      </w:r>
      <w:r w:rsidRPr="00CB016A">
        <w:rPr>
          <w:rFonts w:ascii="仿宋" w:eastAsia="仿宋" w:hAnsi="仿宋"/>
          <w:sz w:val="32"/>
          <w:szCs w:val="32"/>
        </w:rPr>
        <w:t xml:space="preserve"> </w:t>
      </w:r>
    </w:p>
    <w:p w:rsidR="00DE2069" w:rsidRPr="00CB016A" w:rsidRDefault="00DE2069" w:rsidP="00167920">
      <w:pPr>
        <w:spacing w:line="560" w:lineRule="exact"/>
        <w:ind w:firstLineChars="200" w:firstLine="640"/>
        <w:rPr>
          <w:rFonts w:ascii="仿宋" w:eastAsia="仿宋" w:hAnsi="仿宋" w:hint="eastAsia"/>
          <w:sz w:val="32"/>
          <w:szCs w:val="32"/>
        </w:rPr>
      </w:pPr>
      <w:r w:rsidRPr="00CB016A">
        <w:rPr>
          <w:rFonts w:ascii="仿宋" w:eastAsia="仿宋" w:hAnsi="仿宋"/>
          <w:sz w:val="32"/>
          <w:szCs w:val="32"/>
        </w:rPr>
        <w:lastRenderedPageBreak/>
        <w:t>11</w:t>
      </w:r>
      <w:r w:rsidRPr="00CB016A">
        <w:rPr>
          <w:rFonts w:ascii="仿宋" w:eastAsia="仿宋" w:hAnsi="仿宋" w:hint="eastAsia"/>
          <w:sz w:val="32"/>
          <w:szCs w:val="32"/>
        </w:rPr>
        <w:t>、落实</w:t>
      </w:r>
      <w:r w:rsidRPr="00CB016A">
        <w:rPr>
          <w:rFonts w:ascii="仿宋" w:eastAsia="仿宋" w:hAnsi="仿宋"/>
          <w:sz w:val="32"/>
          <w:szCs w:val="32"/>
        </w:rPr>
        <w:t>“</w:t>
      </w:r>
      <w:r w:rsidRPr="00CB016A">
        <w:rPr>
          <w:rFonts w:ascii="仿宋" w:eastAsia="仿宋" w:hAnsi="仿宋" w:hint="eastAsia"/>
          <w:sz w:val="32"/>
          <w:szCs w:val="32"/>
        </w:rPr>
        <w:t>谁执法、谁普法</w:t>
      </w:r>
      <w:r w:rsidRPr="00CB016A">
        <w:rPr>
          <w:rFonts w:ascii="仿宋" w:eastAsia="仿宋" w:hAnsi="仿宋"/>
          <w:sz w:val="32"/>
          <w:szCs w:val="32"/>
        </w:rPr>
        <w:t>”</w:t>
      </w:r>
      <w:r w:rsidRPr="00CB016A">
        <w:rPr>
          <w:rFonts w:ascii="仿宋" w:eastAsia="仿宋" w:hAnsi="仿宋" w:hint="eastAsia"/>
          <w:sz w:val="32"/>
          <w:szCs w:val="32"/>
        </w:rPr>
        <w:t>责任制，加大法制宣传力度，推动全社会树立法治意识，增强法治信仰。</w:t>
      </w:r>
      <w:r w:rsidRPr="00CB016A">
        <w:rPr>
          <w:rFonts w:ascii="仿宋" w:eastAsia="仿宋" w:hAnsi="仿宋"/>
          <w:sz w:val="32"/>
          <w:szCs w:val="32"/>
        </w:rPr>
        <w:t xml:space="preserve"> </w:t>
      </w:r>
    </w:p>
    <w:p w:rsidR="00DE2069" w:rsidRPr="00CB016A" w:rsidRDefault="00DE2069" w:rsidP="00167920">
      <w:pPr>
        <w:spacing w:line="560" w:lineRule="exact"/>
        <w:ind w:firstLineChars="200" w:firstLine="640"/>
        <w:rPr>
          <w:rFonts w:ascii="仿宋" w:eastAsia="仿宋" w:hAnsi="仿宋" w:hint="eastAsia"/>
          <w:sz w:val="32"/>
          <w:szCs w:val="32"/>
        </w:rPr>
      </w:pPr>
      <w:r w:rsidRPr="00CB016A">
        <w:rPr>
          <w:rFonts w:ascii="仿宋" w:eastAsia="仿宋" w:hAnsi="仿宋"/>
          <w:sz w:val="32"/>
          <w:szCs w:val="32"/>
        </w:rPr>
        <w:t>12</w:t>
      </w:r>
      <w:r w:rsidRPr="00CB016A">
        <w:rPr>
          <w:rFonts w:ascii="仿宋" w:eastAsia="仿宋" w:hAnsi="仿宋" w:hint="eastAsia"/>
          <w:sz w:val="32"/>
          <w:szCs w:val="32"/>
        </w:rPr>
        <w:t>、积极参与全市社会管理综合治理。</w:t>
      </w:r>
      <w:r w:rsidRPr="00CB016A">
        <w:rPr>
          <w:rFonts w:ascii="仿宋" w:eastAsia="仿宋" w:hAnsi="仿宋"/>
          <w:sz w:val="32"/>
          <w:szCs w:val="32"/>
        </w:rPr>
        <w:t xml:space="preserve"> </w:t>
      </w:r>
    </w:p>
    <w:p w:rsidR="00DD5D4A" w:rsidRPr="00CB016A" w:rsidRDefault="00DE2069" w:rsidP="00167920">
      <w:pPr>
        <w:spacing w:line="560" w:lineRule="exact"/>
        <w:ind w:firstLineChars="200" w:firstLine="640"/>
        <w:rPr>
          <w:rFonts w:ascii="仿宋" w:eastAsia="仿宋" w:hAnsi="仿宋"/>
          <w:sz w:val="32"/>
          <w:szCs w:val="32"/>
        </w:rPr>
      </w:pPr>
      <w:r w:rsidRPr="00CB016A">
        <w:rPr>
          <w:rFonts w:ascii="仿宋" w:eastAsia="仿宋" w:hAnsi="仿宋"/>
          <w:sz w:val="32"/>
          <w:szCs w:val="32"/>
        </w:rPr>
        <w:t>13</w:t>
      </w:r>
      <w:r w:rsidRPr="00CB016A">
        <w:rPr>
          <w:rFonts w:ascii="仿宋" w:eastAsia="仿宋" w:hAnsi="仿宋" w:hint="eastAsia"/>
          <w:sz w:val="32"/>
          <w:szCs w:val="32"/>
        </w:rPr>
        <w:t>、办理其它应由基层人民法院负责的工作。</w:t>
      </w:r>
    </w:p>
    <w:p w:rsidR="00DD5D4A" w:rsidRPr="00CB016A" w:rsidRDefault="00DD5D4A" w:rsidP="00167920">
      <w:pPr>
        <w:spacing w:line="560" w:lineRule="exact"/>
        <w:ind w:firstLineChars="200" w:firstLine="640"/>
        <w:rPr>
          <w:rFonts w:ascii="华文楷体" w:eastAsia="华文楷体" w:hAnsi="华文楷体"/>
          <w:sz w:val="32"/>
          <w:szCs w:val="32"/>
        </w:rPr>
      </w:pPr>
      <w:r w:rsidRPr="00CB016A">
        <w:rPr>
          <w:rFonts w:ascii="华文楷体" w:eastAsia="华文楷体" w:hAnsi="华文楷体" w:hint="eastAsia"/>
          <w:sz w:val="32"/>
          <w:szCs w:val="32"/>
        </w:rPr>
        <w:t>（二）部门决算单位构成情况</w:t>
      </w:r>
    </w:p>
    <w:p w:rsidR="00DD5D4A" w:rsidRPr="00CB016A" w:rsidRDefault="00DD5D4A" w:rsidP="00167920">
      <w:pPr>
        <w:spacing w:line="560" w:lineRule="exact"/>
        <w:ind w:firstLineChars="200" w:firstLine="640"/>
        <w:rPr>
          <w:rFonts w:ascii="仿宋" w:eastAsia="仿宋" w:hAnsi="仿宋"/>
          <w:sz w:val="32"/>
          <w:szCs w:val="32"/>
        </w:rPr>
      </w:pPr>
      <w:r w:rsidRPr="00CB016A">
        <w:rPr>
          <w:rFonts w:ascii="仿宋" w:eastAsia="仿宋" w:hAnsi="仿宋" w:hint="eastAsia"/>
          <w:sz w:val="32"/>
          <w:szCs w:val="32"/>
        </w:rPr>
        <w:t>部门决算单位为扬中市人民法院，无二级核算单位。</w:t>
      </w:r>
    </w:p>
    <w:p w:rsidR="00CB016A" w:rsidRDefault="00DD5D4A" w:rsidP="00167920">
      <w:pPr>
        <w:spacing w:line="560" w:lineRule="exact"/>
        <w:ind w:firstLineChars="200" w:firstLine="640"/>
        <w:rPr>
          <w:rFonts w:ascii="华文楷体" w:eastAsia="华文楷体" w:hAnsi="华文楷体" w:hint="eastAsia"/>
          <w:sz w:val="32"/>
          <w:szCs w:val="32"/>
        </w:rPr>
      </w:pPr>
      <w:r w:rsidRPr="00CB016A">
        <w:rPr>
          <w:rFonts w:ascii="华文楷体" w:eastAsia="华文楷体" w:hAnsi="华文楷体" w:hint="eastAsia"/>
          <w:sz w:val="32"/>
          <w:szCs w:val="32"/>
        </w:rPr>
        <w:t>（三）</w:t>
      </w:r>
      <w:r w:rsidRPr="00CB016A">
        <w:rPr>
          <w:rFonts w:ascii="华文楷体" w:eastAsia="华文楷体" w:hAnsi="华文楷体"/>
          <w:sz w:val="32"/>
          <w:szCs w:val="32"/>
        </w:rPr>
        <w:t>2014</w:t>
      </w:r>
      <w:r w:rsidRPr="00CB016A">
        <w:rPr>
          <w:rFonts w:ascii="华文楷体" w:eastAsia="华文楷体" w:hAnsi="华文楷体" w:hint="eastAsia"/>
          <w:sz w:val="32"/>
          <w:szCs w:val="32"/>
        </w:rPr>
        <w:t>年度重点工作完成情况</w:t>
      </w:r>
    </w:p>
    <w:p w:rsidR="00BA3C87" w:rsidRPr="00BA3C87" w:rsidRDefault="00BA3C87" w:rsidP="00BA3C87">
      <w:pPr>
        <w:spacing w:line="560" w:lineRule="exact"/>
        <w:ind w:firstLineChars="200" w:firstLine="640"/>
        <w:rPr>
          <w:rFonts w:ascii="仿宋" w:eastAsia="仿宋" w:hAnsi="仿宋" w:hint="eastAsia"/>
          <w:sz w:val="32"/>
          <w:szCs w:val="32"/>
        </w:rPr>
      </w:pPr>
      <w:r w:rsidRPr="00BA3C87">
        <w:rPr>
          <w:rFonts w:ascii="仿宋" w:eastAsia="仿宋" w:hAnsi="仿宋" w:hint="eastAsia"/>
          <w:sz w:val="32"/>
          <w:szCs w:val="32"/>
        </w:rPr>
        <w:t>一是以依法服务大局为首要责任，保障和促进我市现代化建设。坚持把依法办案与服务大局有机结合起来，正确处理法律效果与社会效果的关系，依法受理和妥善审理、执行涉及重大项目、重点企业、重要民生领域的各类案件，着力化解疑难复杂和群体性纠纷。密切关注司法实践中发现的新情况、新问题，深入开展调研，及时提出有针对性的司法对策和建议，为市委市政府正确决策提供参考。加强案件社会稳定风险评估，强化涉诉矛盾纠纷排查化解，主动应对涉诉信访工作机制改革，依法治理涉诉信访问题，促进社会和谐稳定。充分发挥司法裁判对彰显法治精神、强化规则意识、引领社会风尚、维护公共秩序的重要作用，通过公开审判、巡回审判、典型案例发布、新闻媒体宣传以及送法进企业、社区、机关、学校等多种形式，以案释法，加强法制宣传教育，切实增强全社会的法治意识，促进平安扬中、法治扬中建设。</w:t>
      </w:r>
    </w:p>
    <w:p w:rsidR="00BA3C87" w:rsidRPr="00BA3C87" w:rsidRDefault="00BA3C87" w:rsidP="00BA3C87">
      <w:pPr>
        <w:spacing w:line="560" w:lineRule="exact"/>
        <w:ind w:firstLineChars="200" w:firstLine="640"/>
        <w:rPr>
          <w:rFonts w:ascii="仿宋" w:eastAsia="仿宋" w:hAnsi="仿宋" w:hint="eastAsia"/>
          <w:sz w:val="32"/>
          <w:szCs w:val="32"/>
        </w:rPr>
      </w:pPr>
      <w:r w:rsidRPr="00BA3C87">
        <w:rPr>
          <w:rFonts w:ascii="仿宋" w:eastAsia="仿宋" w:hAnsi="仿宋" w:hint="eastAsia"/>
          <w:sz w:val="32"/>
          <w:szCs w:val="32"/>
        </w:rPr>
        <w:t>二是以狠抓执法办案为第一要务，维护社会公平正义。坚持把主要精力和资源集中在执法办案上，依法保障当事人</w:t>
      </w:r>
      <w:r w:rsidRPr="00BA3C87">
        <w:rPr>
          <w:rFonts w:ascii="仿宋" w:eastAsia="仿宋" w:hAnsi="仿宋" w:hint="eastAsia"/>
          <w:sz w:val="32"/>
          <w:szCs w:val="32"/>
        </w:rPr>
        <w:lastRenderedPageBreak/>
        <w:t>程序权利和实体权益。依法惩治各类刑事犯罪，继续“稳、准、狠”地打击严重暴力犯罪和“两抢一盗”诈骗等多发性侵财犯罪，加大对污染破坏环境、危害食品药品安全、制售假冒伪劣商品等犯罪的打击力度，增强人民群众的安全感。妥善处理劳动争议、道路交通事故损害赔偿、医疗事故等矛盾纠纷，依法保障当事人的合法权益。加强涉小微企业、民间借贷等民商事案件审理，依法平等保护市场主体的合法权益，规范市场秩序。依法审慎处理涉土地征收、房屋拆迁、规划、城市管理等方面的行政案件，把保障行政相对人合法权益和促进行政机关依法行政有机结合起来，推动法治政府建设。</w:t>
      </w:r>
    </w:p>
    <w:p w:rsidR="00BA3C87" w:rsidRPr="00BA3C87" w:rsidRDefault="00BA3C87" w:rsidP="00BA3C87">
      <w:pPr>
        <w:spacing w:line="560" w:lineRule="exact"/>
        <w:ind w:firstLineChars="200" w:firstLine="640"/>
        <w:rPr>
          <w:rFonts w:ascii="仿宋" w:eastAsia="仿宋" w:hAnsi="仿宋" w:hint="eastAsia"/>
          <w:sz w:val="32"/>
          <w:szCs w:val="32"/>
        </w:rPr>
      </w:pPr>
      <w:r w:rsidRPr="00BA3C87">
        <w:rPr>
          <w:rFonts w:ascii="仿宋" w:eastAsia="仿宋" w:hAnsi="仿宋" w:hint="eastAsia"/>
          <w:sz w:val="32"/>
          <w:szCs w:val="32"/>
        </w:rPr>
        <w:t>三是以深化改革创新为根本动力，推动司法民主公开。切实加强制度创新，深化四项机制改革。深化审判权内部运行机制改革，进一步明晰和突出主审法官、合议庭、审判委员会职责，建立健全权责相适应的审判管理和审判绩效考核体系。深化司法公开机制改革，加强审判流程公开、裁判文书公开、执行信息公开“三大平台”建设，积极借助法院门户网站、官方微博、微信等平台的传播力和影响力，不断提高审判工作透明度。深化诉讼服务机制改革，建设网上诉讼服务中心，积极争创星级诉讼服务窗口品牌。深化执行工作机制改革，完成执行指挥中心建设，在全市范围内建立健全更具效率、更具威慑力的执行协作和联动机制，切实提高执行工作效果，维护生效裁判权威。</w:t>
      </w:r>
    </w:p>
    <w:p w:rsidR="00BA3C87" w:rsidRPr="00BA3C87" w:rsidRDefault="00BA3C87" w:rsidP="00BA3C87">
      <w:pPr>
        <w:spacing w:line="560" w:lineRule="exact"/>
        <w:ind w:firstLineChars="200" w:firstLine="640"/>
        <w:rPr>
          <w:rFonts w:ascii="仿宋" w:eastAsia="仿宋" w:hAnsi="仿宋"/>
          <w:sz w:val="32"/>
          <w:szCs w:val="32"/>
        </w:rPr>
      </w:pPr>
      <w:r w:rsidRPr="00BA3C87">
        <w:rPr>
          <w:rFonts w:ascii="仿宋" w:eastAsia="仿宋" w:hAnsi="仿宋" w:hint="eastAsia"/>
          <w:sz w:val="32"/>
          <w:szCs w:val="32"/>
        </w:rPr>
        <w:t>四是以提升司法形象为主要目标，加强法院队伍建设。</w:t>
      </w:r>
      <w:r w:rsidRPr="00BA3C87">
        <w:rPr>
          <w:rFonts w:ascii="仿宋" w:eastAsia="仿宋" w:hAnsi="仿宋" w:hint="eastAsia"/>
          <w:sz w:val="32"/>
          <w:szCs w:val="32"/>
        </w:rPr>
        <w:lastRenderedPageBreak/>
        <w:t>继续坚持“从严治院”方针不动摇，以开展党的群众路线教育实践活动为契机，以群众反映强烈的突出问题为重点，以进一步转变司法作风为突破口，充分发挥内部和外部两个方面监督机制的作用，积极主动地接受人大、政协及社会各界的监督，着力构建防错、防腐、防访“一案三防”责任制度，全面提升队伍素质，促进公正廉洁司法，确保队伍不出问题。积极落实“从优待警”政策，全面加强法院队伍专业化、正规化、职业化建设，实行全员分类化管理和考核，建立健全更加科学、合理、规范的业绩评价和奖惩激励机制。创新年轻干警培养机制模式，健全干部选拔任用机制，让更多年轻有为干警脱颖而出，为其施展才华提供舞台。大力实施文化育警、文化强院战略，全面落实文化建设三年发展规划，着力打造具有扬中法院特色的法院文化品牌。</w:t>
      </w:r>
    </w:p>
    <w:p w:rsidR="00DD5D4A" w:rsidRPr="00CF3623" w:rsidRDefault="00DD5D4A" w:rsidP="00167920">
      <w:pPr>
        <w:spacing w:line="560" w:lineRule="exact"/>
        <w:ind w:firstLineChars="200" w:firstLine="640"/>
        <w:rPr>
          <w:rFonts w:ascii="黑体" w:eastAsia="黑体" w:hAnsi="黑体"/>
          <w:sz w:val="32"/>
          <w:szCs w:val="32"/>
        </w:rPr>
      </w:pPr>
      <w:r w:rsidRPr="00CF3623">
        <w:rPr>
          <w:rFonts w:ascii="黑体" w:eastAsia="黑体" w:hAnsi="黑体" w:hint="eastAsia"/>
          <w:sz w:val="32"/>
          <w:szCs w:val="32"/>
        </w:rPr>
        <w:t>二、</w:t>
      </w:r>
      <w:r w:rsidRPr="00CF3623">
        <w:rPr>
          <w:rFonts w:ascii="黑体" w:eastAsia="黑体" w:hAnsi="黑体"/>
          <w:sz w:val="32"/>
          <w:szCs w:val="32"/>
        </w:rPr>
        <w:t>2014</w:t>
      </w:r>
      <w:r w:rsidRPr="00CF3623">
        <w:rPr>
          <w:rFonts w:ascii="黑体" w:eastAsia="黑体" w:hAnsi="黑体" w:hint="eastAsia"/>
          <w:sz w:val="32"/>
          <w:szCs w:val="32"/>
        </w:rPr>
        <w:t>年度收支决算情况</w:t>
      </w:r>
    </w:p>
    <w:p w:rsidR="00DD5D4A" w:rsidRPr="00CF3623" w:rsidRDefault="00DD5D4A" w:rsidP="00167920">
      <w:pPr>
        <w:spacing w:line="560" w:lineRule="exact"/>
        <w:ind w:firstLineChars="200" w:firstLine="640"/>
        <w:rPr>
          <w:rFonts w:ascii="华文楷体" w:eastAsia="华文楷体" w:hAnsi="华文楷体"/>
          <w:sz w:val="32"/>
          <w:szCs w:val="32"/>
        </w:rPr>
      </w:pPr>
      <w:r w:rsidRPr="00CF3623">
        <w:rPr>
          <w:rFonts w:ascii="华文楷体" w:eastAsia="华文楷体" w:hAnsi="华文楷体" w:hint="eastAsia"/>
          <w:sz w:val="32"/>
          <w:szCs w:val="32"/>
        </w:rPr>
        <w:t>（一）收入决算</w:t>
      </w:r>
    </w:p>
    <w:p w:rsidR="00DD5D4A" w:rsidRPr="00CB016A" w:rsidRDefault="00DD5D4A" w:rsidP="00167920">
      <w:pPr>
        <w:spacing w:line="560" w:lineRule="exact"/>
        <w:ind w:firstLineChars="200" w:firstLine="640"/>
        <w:rPr>
          <w:rFonts w:ascii="仿宋" w:eastAsia="仿宋" w:hAnsi="仿宋"/>
          <w:sz w:val="32"/>
          <w:szCs w:val="32"/>
        </w:rPr>
      </w:pPr>
      <w:r w:rsidRPr="00CB016A">
        <w:rPr>
          <w:rFonts w:ascii="仿宋" w:eastAsia="仿宋" w:hAnsi="仿宋" w:hint="eastAsia"/>
          <w:sz w:val="32"/>
          <w:szCs w:val="32"/>
        </w:rPr>
        <w:t>法院</w:t>
      </w:r>
      <w:r w:rsidRPr="00CB016A">
        <w:rPr>
          <w:rFonts w:ascii="仿宋" w:eastAsia="仿宋" w:hAnsi="仿宋"/>
          <w:sz w:val="32"/>
          <w:szCs w:val="32"/>
        </w:rPr>
        <w:t>2014</w:t>
      </w:r>
      <w:r w:rsidRPr="00CB016A">
        <w:rPr>
          <w:rFonts w:ascii="仿宋" w:eastAsia="仿宋" w:hAnsi="仿宋" w:hint="eastAsia"/>
          <w:sz w:val="32"/>
          <w:szCs w:val="32"/>
        </w:rPr>
        <w:t>年度收入决算</w:t>
      </w:r>
      <w:r w:rsidRPr="00CB016A">
        <w:rPr>
          <w:rFonts w:ascii="仿宋" w:eastAsia="仿宋" w:hAnsi="仿宋"/>
          <w:sz w:val="32"/>
          <w:szCs w:val="32"/>
        </w:rPr>
        <w:softHyphen/>
        <w:t>4206.21</w:t>
      </w:r>
      <w:r w:rsidRPr="00CB016A">
        <w:rPr>
          <w:rFonts w:ascii="仿宋" w:eastAsia="仿宋" w:hAnsi="仿宋" w:hint="eastAsia"/>
          <w:sz w:val="32"/>
          <w:szCs w:val="32"/>
        </w:rPr>
        <w:t>万元，比上年增加</w:t>
      </w:r>
      <w:r w:rsidRPr="00CB016A">
        <w:rPr>
          <w:rFonts w:ascii="仿宋" w:eastAsia="仿宋" w:hAnsi="仿宋"/>
          <w:sz w:val="32"/>
          <w:szCs w:val="32"/>
        </w:rPr>
        <w:t>401.87</w:t>
      </w:r>
      <w:r w:rsidRPr="00CB016A">
        <w:rPr>
          <w:rFonts w:ascii="仿宋" w:eastAsia="仿宋" w:hAnsi="仿宋" w:hint="eastAsia"/>
          <w:sz w:val="32"/>
          <w:szCs w:val="32"/>
        </w:rPr>
        <w:t>万元，增长</w:t>
      </w:r>
      <w:r w:rsidRPr="00CB016A">
        <w:rPr>
          <w:rFonts w:ascii="仿宋" w:eastAsia="仿宋" w:hAnsi="仿宋"/>
          <w:sz w:val="32"/>
          <w:szCs w:val="32"/>
        </w:rPr>
        <w:t>10.56 %</w:t>
      </w:r>
      <w:r w:rsidRPr="00CB016A">
        <w:rPr>
          <w:rFonts w:ascii="仿宋" w:eastAsia="仿宋" w:hAnsi="仿宋" w:hint="eastAsia"/>
          <w:sz w:val="32"/>
          <w:szCs w:val="32"/>
        </w:rPr>
        <w:t>。主要原因是人员经费增加及非税收入安排的项目支出有所增加。其中：</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1</w:t>
      </w:r>
      <w:r w:rsidRPr="00CB016A">
        <w:rPr>
          <w:rFonts w:ascii="仿宋" w:eastAsia="仿宋" w:hAnsi="仿宋" w:hint="eastAsia"/>
          <w:sz w:val="32"/>
          <w:szCs w:val="32"/>
        </w:rPr>
        <w:t>、财政拨款收入</w:t>
      </w:r>
      <w:r w:rsidRPr="00CB016A">
        <w:rPr>
          <w:rFonts w:ascii="仿宋" w:eastAsia="仿宋" w:hAnsi="仿宋"/>
          <w:sz w:val="32"/>
          <w:szCs w:val="32"/>
        </w:rPr>
        <w:t>4206.21</w:t>
      </w:r>
      <w:r w:rsidRPr="00CB016A">
        <w:rPr>
          <w:rFonts w:ascii="仿宋" w:eastAsia="仿宋" w:hAnsi="仿宋" w:hint="eastAsia"/>
          <w:sz w:val="32"/>
          <w:szCs w:val="32"/>
        </w:rPr>
        <w:t>万元，为当年从市级财政取得的一般公共预算拨款和政府性基金预算拨款。</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2</w:t>
      </w:r>
      <w:r w:rsidRPr="00CB016A">
        <w:rPr>
          <w:rFonts w:ascii="仿宋" w:eastAsia="仿宋" w:hAnsi="仿宋" w:hint="eastAsia"/>
          <w:sz w:val="32"/>
          <w:szCs w:val="32"/>
        </w:rPr>
        <w:t>、上级补助收入</w:t>
      </w:r>
      <w:r w:rsidRPr="00CB016A">
        <w:rPr>
          <w:rFonts w:ascii="仿宋" w:eastAsia="仿宋" w:hAnsi="仿宋"/>
          <w:sz w:val="32"/>
          <w:szCs w:val="32"/>
        </w:rPr>
        <w:t>0</w:t>
      </w:r>
      <w:r w:rsidRPr="00CB016A">
        <w:rPr>
          <w:rFonts w:ascii="仿宋" w:eastAsia="仿宋" w:hAnsi="仿宋" w:hint="eastAsia"/>
          <w:sz w:val="32"/>
          <w:szCs w:val="32"/>
        </w:rPr>
        <w:t>万元，为事业单位从主管部门和上级单位取得的非财政补助资金。</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3</w:t>
      </w:r>
      <w:r w:rsidRPr="00CB016A">
        <w:rPr>
          <w:rFonts w:ascii="仿宋" w:eastAsia="仿宋" w:hAnsi="仿宋" w:hint="eastAsia"/>
          <w:sz w:val="32"/>
          <w:szCs w:val="32"/>
        </w:rPr>
        <w:t>、事业收入</w:t>
      </w:r>
      <w:r w:rsidRPr="00CB016A">
        <w:rPr>
          <w:rFonts w:ascii="仿宋" w:eastAsia="仿宋" w:hAnsi="仿宋"/>
          <w:sz w:val="32"/>
          <w:szCs w:val="32"/>
        </w:rPr>
        <w:t>0</w:t>
      </w:r>
      <w:r w:rsidRPr="00CB016A">
        <w:rPr>
          <w:rFonts w:ascii="仿宋" w:eastAsia="仿宋" w:hAnsi="仿宋" w:hint="eastAsia"/>
          <w:sz w:val="32"/>
          <w:szCs w:val="32"/>
        </w:rPr>
        <w:t>万元，为事业单位开展专业业务活动及其辅助活动取得的收入。</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lastRenderedPageBreak/>
        <w:t>4</w:t>
      </w:r>
      <w:r w:rsidRPr="00CB016A">
        <w:rPr>
          <w:rFonts w:ascii="仿宋" w:eastAsia="仿宋" w:hAnsi="仿宋" w:hint="eastAsia"/>
          <w:sz w:val="32"/>
          <w:szCs w:val="32"/>
        </w:rPr>
        <w:t>、经营收入</w:t>
      </w:r>
      <w:r w:rsidRPr="00CB016A">
        <w:rPr>
          <w:rFonts w:ascii="仿宋" w:eastAsia="仿宋" w:hAnsi="仿宋"/>
          <w:sz w:val="32"/>
          <w:szCs w:val="32"/>
        </w:rPr>
        <w:t>0</w:t>
      </w:r>
      <w:r w:rsidRPr="00CB016A">
        <w:rPr>
          <w:rFonts w:ascii="仿宋" w:eastAsia="仿宋" w:hAnsi="仿宋" w:hint="eastAsia"/>
          <w:sz w:val="32"/>
          <w:szCs w:val="32"/>
        </w:rPr>
        <w:t>万元，为事业单位在专业业务活动及其辅助活动之外开展非独立核算经营活动取得的收入。</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5</w:t>
      </w:r>
      <w:r w:rsidRPr="00CB016A">
        <w:rPr>
          <w:rFonts w:ascii="仿宋" w:eastAsia="仿宋" w:hAnsi="仿宋" w:hint="eastAsia"/>
          <w:sz w:val="32"/>
          <w:szCs w:val="32"/>
        </w:rPr>
        <w:t>、附属单位上缴收入</w:t>
      </w:r>
      <w:r w:rsidRPr="00CB016A">
        <w:rPr>
          <w:rFonts w:ascii="仿宋" w:eastAsia="仿宋" w:hAnsi="仿宋"/>
          <w:sz w:val="32"/>
          <w:szCs w:val="32"/>
        </w:rPr>
        <w:t>0</w:t>
      </w:r>
      <w:r w:rsidRPr="00CB016A">
        <w:rPr>
          <w:rFonts w:ascii="仿宋" w:eastAsia="仿宋" w:hAnsi="仿宋" w:hint="eastAsia"/>
          <w:sz w:val="32"/>
          <w:szCs w:val="32"/>
        </w:rPr>
        <w:t>万元，为事业单位附属独立核算单位按照有关规定上缴的收入。</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6</w:t>
      </w:r>
      <w:r w:rsidRPr="00CB016A">
        <w:rPr>
          <w:rFonts w:ascii="仿宋" w:eastAsia="仿宋" w:hAnsi="仿宋" w:hint="eastAsia"/>
          <w:sz w:val="32"/>
          <w:szCs w:val="32"/>
        </w:rPr>
        <w:t>、其他收入</w:t>
      </w:r>
      <w:r w:rsidRPr="00CB016A">
        <w:rPr>
          <w:rFonts w:ascii="仿宋" w:eastAsia="仿宋" w:hAnsi="仿宋"/>
          <w:sz w:val="32"/>
          <w:szCs w:val="32"/>
        </w:rPr>
        <w:t>0</w:t>
      </w:r>
      <w:r w:rsidRPr="00CB016A">
        <w:rPr>
          <w:rFonts w:ascii="仿宋" w:eastAsia="仿宋" w:hAnsi="仿宋" w:hint="eastAsia"/>
          <w:sz w:val="32"/>
          <w:szCs w:val="32"/>
        </w:rPr>
        <w:t>万元，为除上述“财政拨款收入”、“事业收入”、“经营收入”等以外的收入。如预算单位取得的非本级财政拨款、本级横向财政拨款、利息收入等。</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7</w:t>
      </w:r>
      <w:r w:rsidRPr="00CB016A">
        <w:rPr>
          <w:rFonts w:ascii="仿宋" w:eastAsia="仿宋" w:hAnsi="仿宋" w:hint="eastAsia"/>
          <w:sz w:val="32"/>
          <w:szCs w:val="32"/>
        </w:rPr>
        <w:t>、事业基金弥补收支差额</w:t>
      </w:r>
      <w:r w:rsidRPr="00CB016A">
        <w:rPr>
          <w:rFonts w:ascii="仿宋" w:eastAsia="仿宋" w:hAnsi="仿宋"/>
          <w:sz w:val="32"/>
          <w:szCs w:val="32"/>
        </w:rPr>
        <w:t>0</w:t>
      </w:r>
      <w:r w:rsidRPr="00CB016A">
        <w:rPr>
          <w:rFonts w:ascii="仿宋" w:eastAsia="仿宋" w:hAnsi="仿宋" w:hint="eastAsia"/>
          <w:sz w:val="32"/>
          <w:szCs w:val="32"/>
        </w:rPr>
        <w:t>万元，为事业单位用事业基金弥补当年收支缺口的资金。</w:t>
      </w:r>
    </w:p>
    <w:p w:rsidR="00DD5D4A" w:rsidRPr="00CF3623" w:rsidRDefault="00DD5D4A" w:rsidP="00167920">
      <w:pPr>
        <w:spacing w:line="560" w:lineRule="exact"/>
        <w:ind w:firstLineChars="200" w:firstLine="640"/>
        <w:rPr>
          <w:rFonts w:ascii="华文楷体" w:eastAsia="华文楷体" w:hAnsi="华文楷体"/>
          <w:sz w:val="32"/>
          <w:szCs w:val="32"/>
        </w:rPr>
      </w:pPr>
      <w:r w:rsidRPr="00CB016A">
        <w:rPr>
          <w:rFonts w:ascii="仿宋" w:eastAsia="仿宋" w:hAnsi="仿宋"/>
          <w:sz w:val="32"/>
          <w:szCs w:val="32"/>
        </w:rPr>
        <w:t>8</w:t>
      </w:r>
      <w:r w:rsidRPr="00CB016A">
        <w:rPr>
          <w:rFonts w:ascii="仿宋" w:eastAsia="仿宋" w:hAnsi="仿宋" w:hint="eastAsia"/>
          <w:sz w:val="32"/>
          <w:szCs w:val="32"/>
        </w:rPr>
        <w:t>、年初结转和结余</w:t>
      </w:r>
      <w:r w:rsidRPr="00CB016A">
        <w:rPr>
          <w:rFonts w:ascii="仿宋" w:eastAsia="仿宋" w:hAnsi="仿宋"/>
          <w:sz w:val="32"/>
          <w:szCs w:val="32"/>
        </w:rPr>
        <w:t>0</w:t>
      </w:r>
      <w:r w:rsidRPr="00CB016A">
        <w:rPr>
          <w:rFonts w:ascii="仿宋" w:eastAsia="仿宋" w:hAnsi="仿宋" w:hint="eastAsia"/>
          <w:sz w:val="32"/>
          <w:szCs w:val="32"/>
        </w:rPr>
        <w:t>万元，为以前支出预算因客观条件变化未执行完毕、结转到本年度按规定继续使用的资金，既包括财政拨款的结转和结余，也包括事业收入、经营收入和</w:t>
      </w:r>
      <w:r w:rsidRPr="00CF3623">
        <w:rPr>
          <w:rFonts w:ascii="仿宋" w:eastAsia="仿宋" w:hAnsi="仿宋" w:hint="eastAsia"/>
          <w:sz w:val="32"/>
          <w:szCs w:val="32"/>
        </w:rPr>
        <w:t>其他收入的结转和结余。</w:t>
      </w:r>
    </w:p>
    <w:p w:rsidR="00DD5D4A" w:rsidRPr="00CF3623" w:rsidRDefault="00DD5D4A" w:rsidP="00167920">
      <w:pPr>
        <w:spacing w:line="560" w:lineRule="exact"/>
        <w:ind w:firstLineChars="200" w:firstLine="640"/>
        <w:rPr>
          <w:rFonts w:ascii="华文楷体" w:eastAsia="华文楷体" w:hAnsi="华文楷体"/>
          <w:sz w:val="32"/>
          <w:szCs w:val="32"/>
        </w:rPr>
      </w:pPr>
      <w:r w:rsidRPr="00CF3623">
        <w:rPr>
          <w:rFonts w:ascii="华文楷体" w:eastAsia="华文楷体" w:hAnsi="华文楷体" w:hint="eastAsia"/>
          <w:sz w:val="32"/>
          <w:szCs w:val="32"/>
        </w:rPr>
        <w:t>（二）支出决算</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hint="eastAsia"/>
          <w:sz w:val="32"/>
          <w:szCs w:val="32"/>
        </w:rPr>
        <w:t>法院</w:t>
      </w:r>
      <w:r w:rsidRPr="00CB016A">
        <w:rPr>
          <w:rFonts w:ascii="仿宋" w:eastAsia="仿宋" w:hAnsi="仿宋"/>
          <w:sz w:val="32"/>
          <w:szCs w:val="32"/>
        </w:rPr>
        <w:t>2014</w:t>
      </w:r>
      <w:r w:rsidRPr="00CB016A">
        <w:rPr>
          <w:rFonts w:ascii="仿宋" w:eastAsia="仿宋" w:hAnsi="仿宋" w:hint="eastAsia"/>
          <w:sz w:val="32"/>
          <w:szCs w:val="32"/>
        </w:rPr>
        <w:t>年度支出决算</w:t>
      </w:r>
      <w:r w:rsidRPr="00CB016A">
        <w:rPr>
          <w:rFonts w:ascii="仿宋" w:eastAsia="仿宋" w:hAnsi="仿宋"/>
          <w:sz w:val="32"/>
          <w:szCs w:val="32"/>
        </w:rPr>
        <w:t>4206.21</w:t>
      </w:r>
      <w:r w:rsidRPr="00CB016A">
        <w:rPr>
          <w:rFonts w:ascii="仿宋" w:eastAsia="仿宋" w:hAnsi="仿宋" w:hint="eastAsia"/>
          <w:sz w:val="32"/>
          <w:szCs w:val="32"/>
        </w:rPr>
        <w:t>万元，比上年增加</w:t>
      </w:r>
      <w:r w:rsidRPr="00CB016A">
        <w:rPr>
          <w:rFonts w:ascii="仿宋" w:eastAsia="仿宋" w:hAnsi="仿宋"/>
          <w:sz w:val="32"/>
          <w:szCs w:val="32"/>
        </w:rPr>
        <w:t>401.87</w:t>
      </w:r>
      <w:r w:rsidRPr="00CB016A">
        <w:rPr>
          <w:rFonts w:ascii="仿宋" w:eastAsia="仿宋" w:hAnsi="仿宋" w:hint="eastAsia"/>
          <w:sz w:val="32"/>
          <w:szCs w:val="32"/>
        </w:rPr>
        <w:t>万元，增长</w:t>
      </w:r>
      <w:r w:rsidRPr="00CB016A">
        <w:rPr>
          <w:rFonts w:ascii="仿宋" w:eastAsia="仿宋" w:hAnsi="仿宋"/>
          <w:sz w:val="32"/>
          <w:szCs w:val="32"/>
        </w:rPr>
        <w:t>10.56%</w:t>
      </w:r>
      <w:r w:rsidRPr="00CB016A">
        <w:rPr>
          <w:rFonts w:ascii="仿宋" w:eastAsia="仿宋" w:hAnsi="仿宋" w:hint="eastAsia"/>
          <w:sz w:val="32"/>
          <w:szCs w:val="32"/>
        </w:rPr>
        <w:t>。其中：</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1</w:t>
      </w:r>
      <w:r w:rsidRPr="00CB016A">
        <w:rPr>
          <w:rFonts w:ascii="仿宋" w:eastAsia="仿宋" w:hAnsi="仿宋" w:hint="eastAsia"/>
          <w:sz w:val="32"/>
          <w:szCs w:val="32"/>
        </w:rPr>
        <w:t>、按功能科目分类：行政运行</w:t>
      </w:r>
      <w:r w:rsidRPr="00CB016A">
        <w:rPr>
          <w:rFonts w:ascii="仿宋" w:eastAsia="仿宋" w:hAnsi="仿宋"/>
          <w:sz w:val="32"/>
          <w:szCs w:val="32"/>
        </w:rPr>
        <w:t>2952.08</w:t>
      </w:r>
      <w:r w:rsidRPr="00CB016A">
        <w:rPr>
          <w:rFonts w:ascii="仿宋" w:eastAsia="仿宋" w:hAnsi="仿宋" w:hint="eastAsia"/>
          <w:sz w:val="32"/>
          <w:szCs w:val="32"/>
        </w:rPr>
        <w:t>万元，两庭建设</w:t>
      </w:r>
      <w:r w:rsidRPr="00CB016A">
        <w:rPr>
          <w:rFonts w:ascii="仿宋" w:eastAsia="仿宋" w:hAnsi="仿宋"/>
          <w:sz w:val="32"/>
          <w:szCs w:val="32"/>
        </w:rPr>
        <w:t>250</w:t>
      </w:r>
      <w:r w:rsidRPr="00CB016A">
        <w:rPr>
          <w:rFonts w:ascii="仿宋" w:eastAsia="仿宋" w:hAnsi="仿宋" w:hint="eastAsia"/>
          <w:sz w:val="32"/>
          <w:szCs w:val="32"/>
        </w:rPr>
        <w:t>万元，事业运行</w:t>
      </w:r>
      <w:r w:rsidRPr="00CB016A">
        <w:rPr>
          <w:rFonts w:ascii="仿宋" w:eastAsia="仿宋" w:hAnsi="仿宋"/>
          <w:sz w:val="32"/>
          <w:szCs w:val="32"/>
        </w:rPr>
        <w:t>300.12</w:t>
      </w:r>
      <w:r w:rsidRPr="00CB016A">
        <w:rPr>
          <w:rFonts w:ascii="仿宋" w:eastAsia="仿宋" w:hAnsi="仿宋" w:hint="eastAsia"/>
          <w:sz w:val="32"/>
          <w:szCs w:val="32"/>
        </w:rPr>
        <w:t>万元，其他法院支出</w:t>
      </w:r>
      <w:r w:rsidRPr="00CB016A">
        <w:rPr>
          <w:rFonts w:ascii="仿宋" w:eastAsia="仿宋" w:hAnsi="仿宋"/>
          <w:sz w:val="32"/>
          <w:szCs w:val="32"/>
        </w:rPr>
        <w:t>614</w:t>
      </w:r>
      <w:r w:rsidRPr="00CB016A">
        <w:rPr>
          <w:rFonts w:ascii="仿宋" w:eastAsia="仿宋" w:hAnsi="仿宋" w:hint="eastAsia"/>
          <w:sz w:val="32"/>
          <w:szCs w:val="32"/>
        </w:rPr>
        <w:t>万元，住房公积金支出</w:t>
      </w:r>
      <w:r w:rsidRPr="00CB016A">
        <w:rPr>
          <w:rFonts w:ascii="仿宋" w:eastAsia="仿宋" w:hAnsi="仿宋"/>
          <w:sz w:val="32"/>
          <w:szCs w:val="32"/>
        </w:rPr>
        <w:t>90.01</w:t>
      </w:r>
      <w:r w:rsidRPr="00CB016A">
        <w:rPr>
          <w:rFonts w:ascii="仿宋" w:eastAsia="仿宋" w:hAnsi="仿宋" w:hint="eastAsia"/>
          <w:sz w:val="32"/>
          <w:szCs w:val="32"/>
        </w:rPr>
        <w:t>万元。</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2</w:t>
      </w:r>
      <w:r w:rsidRPr="00CB016A">
        <w:rPr>
          <w:rFonts w:ascii="仿宋" w:eastAsia="仿宋" w:hAnsi="仿宋" w:hint="eastAsia"/>
          <w:sz w:val="32"/>
          <w:szCs w:val="32"/>
        </w:rPr>
        <w:t>、结余分配</w:t>
      </w:r>
      <w:r w:rsidRPr="00CB016A">
        <w:rPr>
          <w:rFonts w:ascii="仿宋" w:eastAsia="仿宋" w:hAnsi="仿宋"/>
          <w:sz w:val="32"/>
          <w:szCs w:val="32"/>
        </w:rPr>
        <w:t>0</w:t>
      </w:r>
      <w:r w:rsidRPr="00CB016A">
        <w:rPr>
          <w:rFonts w:ascii="仿宋" w:eastAsia="仿宋" w:hAnsi="仿宋" w:hint="eastAsia"/>
          <w:sz w:val="32"/>
          <w:szCs w:val="32"/>
        </w:rPr>
        <w:t>万元，为事业单位对非财政补助结余按规定计算缴纳的企业所得税、提取的职工福利基金和转入事业基金等。</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3</w:t>
      </w:r>
      <w:r w:rsidRPr="00CB016A">
        <w:rPr>
          <w:rFonts w:ascii="仿宋" w:eastAsia="仿宋" w:hAnsi="仿宋" w:hint="eastAsia"/>
          <w:sz w:val="32"/>
          <w:szCs w:val="32"/>
        </w:rPr>
        <w:t>、年末结转和结余</w:t>
      </w:r>
      <w:r w:rsidRPr="00CB016A">
        <w:rPr>
          <w:rFonts w:ascii="仿宋" w:eastAsia="仿宋" w:hAnsi="仿宋"/>
          <w:sz w:val="32"/>
          <w:szCs w:val="32"/>
        </w:rPr>
        <w:t>0</w:t>
      </w:r>
      <w:r w:rsidRPr="00CB016A">
        <w:rPr>
          <w:rFonts w:ascii="仿宋" w:eastAsia="仿宋" w:hAnsi="仿宋" w:hint="eastAsia"/>
          <w:sz w:val="32"/>
          <w:szCs w:val="32"/>
        </w:rPr>
        <w:t>万元。</w:t>
      </w:r>
    </w:p>
    <w:p w:rsidR="00DD5D4A" w:rsidRPr="00CF3623" w:rsidRDefault="00DD5D4A" w:rsidP="00167920">
      <w:pPr>
        <w:snapToGrid w:val="0"/>
        <w:spacing w:line="560" w:lineRule="exact"/>
        <w:ind w:firstLineChars="200" w:firstLine="640"/>
        <w:rPr>
          <w:rFonts w:ascii="黑体" w:eastAsia="黑体" w:hAnsi="黑体"/>
          <w:sz w:val="32"/>
          <w:szCs w:val="32"/>
        </w:rPr>
      </w:pPr>
      <w:r w:rsidRPr="00CF3623">
        <w:rPr>
          <w:rFonts w:ascii="黑体" w:eastAsia="黑体" w:hAnsi="黑体" w:hint="eastAsia"/>
          <w:sz w:val="32"/>
          <w:szCs w:val="32"/>
        </w:rPr>
        <w:t>三、</w:t>
      </w:r>
      <w:r w:rsidRPr="00CF3623">
        <w:rPr>
          <w:rFonts w:ascii="黑体" w:eastAsia="黑体" w:hAnsi="黑体"/>
          <w:sz w:val="32"/>
          <w:szCs w:val="32"/>
        </w:rPr>
        <w:t>2014</w:t>
      </w:r>
      <w:r w:rsidRPr="00CF3623">
        <w:rPr>
          <w:rFonts w:ascii="黑体" w:eastAsia="黑体" w:hAnsi="黑体" w:hint="eastAsia"/>
          <w:sz w:val="32"/>
          <w:szCs w:val="32"/>
        </w:rPr>
        <w:t>年财政拨款支出情况</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hint="eastAsia"/>
          <w:sz w:val="32"/>
          <w:szCs w:val="32"/>
        </w:rPr>
        <w:lastRenderedPageBreak/>
        <w:t>财政拨款支出决算反映的是一般公共预算拨款安排的支出和政府性基金预算拨款安排的支出总体情况，既包括使用本年从市级财政取得财政拨款发生的支出，也包括使用上年财政拨款结转和结余资金发生的支出。</w:t>
      </w:r>
    </w:p>
    <w:p w:rsidR="00DD5D4A" w:rsidRPr="00CF3623" w:rsidRDefault="00DD5D4A" w:rsidP="00167920">
      <w:pPr>
        <w:pStyle w:val="a5"/>
        <w:numPr>
          <w:ilvl w:val="0"/>
          <w:numId w:val="3"/>
        </w:numPr>
        <w:snapToGrid w:val="0"/>
        <w:spacing w:line="560" w:lineRule="exact"/>
        <w:ind w:firstLineChars="0"/>
        <w:rPr>
          <w:rFonts w:ascii="华文楷体" w:eastAsia="华文楷体" w:hAnsi="华文楷体"/>
          <w:sz w:val="32"/>
          <w:szCs w:val="32"/>
        </w:rPr>
      </w:pPr>
      <w:r w:rsidRPr="00CF3623">
        <w:rPr>
          <w:rFonts w:ascii="华文楷体" w:eastAsia="华文楷体" w:hAnsi="华文楷体" w:hint="eastAsia"/>
          <w:sz w:val="32"/>
          <w:szCs w:val="32"/>
        </w:rPr>
        <w:t>财政拨款支出总体情况</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hint="eastAsia"/>
          <w:sz w:val="32"/>
          <w:szCs w:val="32"/>
        </w:rPr>
        <w:t>法院</w:t>
      </w:r>
      <w:r w:rsidRPr="00CB016A">
        <w:rPr>
          <w:rFonts w:ascii="仿宋" w:eastAsia="仿宋" w:hAnsi="仿宋"/>
          <w:sz w:val="32"/>
          <w:szCs w:val="32"/>
        </w:rPr>
        <w:t>2014</w:t>
      </w:r>
      <w:r w:rsidRPr="00CB016A">
        <w:rPr>
          <w:rFonts w:ascii="仿宋" w:eastAsia="仿宋" w:hAnsi="仿宋" w:hint="eastAsia"/>
          <w:sz w:val="32"/>
          <w:szCs w:val="32"/>
        </w:rPr>
        <w:t>年财政拨款支出</w:t>
      </w:r>
      <w:r w:rsidRPr="00CB016A">
        <w:rPr>
          <w:rFonts w:ascii="仿宋" w:eastAsia="仿宋" w:hAnsi="仿宋"/>
          <w:sz w:val="32"/>
          <w:szCs w:val="32"/>
        </w:rPr>
        <w:t>4206.21</w:t>
      </w:r>
      <w:r w:rsidRPr="00CB016A">
        <w:rPr>
          <w:rFonts w:ascii="仿宋" w:eastAsia="仿宋" w:hAnsi="仿宋" w:hint="eastAsia"/>
          <w:sz w:val="32"/>
          <w:szCs w:val="32"/>
        </w:rPr>
        <w:t>万元，占本年支出的</w:t>
      </w:r>
      <w:r w:rsidRPr="00CB016A">
        <w:rPr>
          <w:rFonts w:ascii="仿宋" w:eastAsia="仿宋" w:hAnsi="仿宋"/>
          <w:sz w:val="32"/>
          <w:szCs w:val="32"/>
        </w:rPr>
        <w:t>100%</w:t>
      </w:r>
      <w:r w:rsidRPr="00CB016A">
        <w:rPr>
          <w:rFonts w:ascii="仿宋" w:eastAsia="仿宋" w:hAnsi="仿宋" w:hint="eastAsia"/>
          <w:sz w:val="32"/>
          <w:szCs w:val="32"/>
        </w:rPr>
        <w:t>。其中：基本支出</w:t>
      </w:r>
      <w:r w:rsidRPr="00CB016A">
        <w:rPr>
          <w:rFonts w:ascii="仿宋" w:eastAsia="仿宋" w:hAnsi="仿宋"/>
          <w:sz w:val="32"/>
          <w:szCs w:val="32"/>
        </w:rPr>
        <w:t>2162.1</w:t>
      </w:r>
      <w:r w:rsidRPr="00CB016A">
        <w:rPr>
          <w:rFonts w:ascii="仿宋" w:eastAsia="仿宋" w:hAnsi="仿宋" w:hint="eastAsia"/>
          <w:sz w:val="32"/>
          <w:szCs w:val="32"/>
        </w:rPr>
        <w:t>万元，占</w:t>
      </w:r>
      <w:r w:rsidRPr="00CB016A">
        <w:rPr>
          <w:rFonts w:ascii="仿宋" w:eastAsia="仿宋" w:hAnsi="仿宋"/>
          <w:sz w:val="32"/>
          <w:szCs w:val="32"/>
        </w:rPr>
        <w:t>51.4%</w:t>
      </w:r>
      <w:r w:rsidRPr="00CB016A">
        <w:rPr>
          <w:rFonts w:ascii="仿宋" w:eastAsia="仿宋" w:hAnsi="仿宋" w:hint="eastAsia"/>
          <w:sz w:val="32"/>
          <w:szCs w:val="32"/>
        </w:rPr>
        <w:t>；项目支出</w:t>
      </w:r>
      <w:r w:rsidRPr="00CB016A">
        <w:rPr>
          <w:rFonts w:ascii="仿宋" w:eastAsia="仿宋" w:hAnsi="仿宋"/>
          <w:sz w:val="32"/>
          <w:szCs w:val="32"/>
        </w:rPr>
        <w:t>2044.11</w:t>
      </w:r>
      <w:r w:rsidRPr="00CB016A">
        <w:rPr>
          <w:rFonts w:ascii="仿宋" w:eastAsia="仿宋" w:hAnsi="仿宋" w:hint="eastAsia"/>
          <w:sz w:val="32"/>
          <w:szCs w:val="32"/>
        </w:rPr>
        <w:t>万元，占</w:t>
      </w:r>
      <w:r w:rsidRPr="00CB016A">
        <w:rPr>
          <w:rFonts w:ascii="仿宋" w:eastAsia="仿宋" w:hAnsi="仿宋"/>
          <w:sz w:val="32"/>
          <w:szCs w:val="32"/>
        </w:rPr>
        <w:t>48.6%</w:t>
      </w:r>
      <w:r w:rsidRPr="00CB016A">
        <w:rPr>
          <w:rFonts w:ascii="仿宋" w:eastAsia="仿宋" w:hAnsi="仿宋" w:hint="eastAsia"/>
          <w:sz w:val="32"/>
          <w:szCs w:val="32"/>
        </w:rPr>
        <w:t>。</w:t>
      </w:r>
    </w:p>
    <w:p w:rsidR="00DD5D4A" w:rsidRPr="00CF3623" w:rsidRDefault="00DD5D4A" w:rsidP="00167920">
      <w:pPr>
        <w:snapToGrid w:val="0"/>
        <w:spacing w:line="560" w:lineRule="exact"/>
        <w:ind w:firstLineChars="200" w:firstLine="640"/>
        <w:rPr>
          <w:rFonts w:ascii="华文楷体" w:eastAsia="华文楷体" w:hAnsi="华文楷体"/>
          <w:sz w:val="32"/>
          <w:szCs w:val="32"/>
        </w:rPr>
      </w:pPr>
      <w:r w:rsidRPr="00CF3623">
        <w:rPr>
          <w:rFonts w:ascii="华文楷体" w:eastAsia="华文楷体" w:hAnsi="华文楷体" w:hint="eastAsia"/>
          <w:sz w:val="32"/>
          <w:szCs w:val="32"/>
        </w:rPr>
        <w:t>（二）财政拨款支出构成情况</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hint="eastAsia"/>
          <w:sz w:val="32"/>
          <w:szCs w:val="32"/>
        </w:rPr>
        <w:t>法院</w:t>
      </w:r>
      <w:r w:rsidRPr="00CB016A">
        <w:rPr>
          <w:rFonts w:ascii="仿宋" w:eastAsia="仿宋" w:hAnsi="仿宋"/>
          <w:sz w:val="32"/>
          <w:szCs w:val="32"/>
        </w:rPr>
        <w:t>2014</w:t>
      </w:r>
      <w:r w:rsidRPr="00CB016A">
        <w:rPr>
          <w:rFonts w:ascii="仿宋" w:eastAsia="仿宋" w:hAnsi="仿宋" w:hint="eastAsia"/>
          <w:sz w:val="32"/>
          <w:szCs w:val="32"/>
        </w:rPr>
        <w:t>年财政拨款支出主要用于以下几个方面：行政运行</w:t>
      </w:r>
      <w:r w:rsidRPr="00CB016A">
        <w:rPr>
          <w:rFonts w:ascii="仿宋" w:eastAsia="仿宋" w:hAnsi="仿宋"/>
          <w:sz w:val="32"/>
          <w:szCs w:val="32"/>
        </w:rPr>
        <w:t>2952.08</w:t>
      </w:r>
      <w:r w:rsidRPr="00CB016A">
        <w:rPr>
          <w:rFonts w:ascii="仿宋" w:eastAsia="仿宋" w:hAnsi="仿宋" w:hint="eastAsia"/>
          <w:sz w:val="32"/>
          <w:szCs w:val="32"/>
        </w:rPr>
        <w:t>万元，占</w:t>
      </w:r>
      <w:r w:rsidRPr="00CB016A">
        <w:rPr>
          <w:rFonts w:ascii="仿宋" w:eastAsia="仿宋" w:hAnsi="仿宋"/>
          <w:sz w:val="32"/>
          <w:szCs w:val="32"/>
        </w:rPr>
        <w:t>70.18%</w:t>
      </w:r>
      <w:r w:rsidRPr="00CB016A">
        <w:rPr>
          <w:rFonts w:ascii="仿宋" w:eastAsia="仿宋" w:hAnsi="仿宋" w:hint="eastAsia"/>
          <w:sz w:val="32"/>
          <w:szCs w:val="32"/>
        </w:rPr>
        <w:t>；两庭建设</w:t>
      </w:r>
      <w:r w:rsidRPr="00CB016A">
        <w:rPr>
          <w:rFonts w:ascii="仿宋" w:eastAsia="仿宋" w:hAnsi="仿宋"/>
          <w:sz w:val="32"/>
          <w:szCs w:val="32"/>
        </w:rPr>
        <w:t>250</w:t>
      </w:r>
      <w:r w:rsidRPr="00CB016A">
        <w:rPr>
          <w:rFonts w:ascii="仿宋" w:eastAsia="仿宋" w:hAnsi="仿宋" w:hint="eastAsia"/>
          <w:sz w:val="32"/>
          <w:szCs w:val="32"/>
        </w:rPr>
        <w:t>万元，占</w:t>
      </w:r>
      <w:r w:rsidRPr="00CB016A">
        <w:rPr>
          <w:rFonts w:ascii="仿宋" w:eastAsia="仿宋" w:hAnsi="仿宋"/>
          <w:sz w:val="32"/>
          <w:szCs w:val="32"/>
        </w:rPr>
        <w:t>5.94%</w:t>
      </w:r>
      <w:r w:rsidRPr="00CB016A">
        <w:rPr>
          <w:rFonts w:ascii="仿宋" w:eastAsia="仿宋" w:hAnsi="仿宋" w:hint="eastAsia"/>
          <w:sz w:val="32"/>
          <w:szCs w:val="32"/>
        </w:rPr>
        <w:t>；事业运行</w:t>
      </w:r>
      <w:r w:rsidRPr="00CB016A">
        <w:rPr>
          <w:rFonts w:ascii="仿宋" w:eastAsia="仿宋" w:hAnsi="仿宋"/>
          <w:sz w:val="32"/>
          <w:szCs w:val="32"/>
        </w:rPr>
        <w:t>300.12</w:t>
      </w:r>
      <w:r w:rsidRPr="00CB016A">
        <w:rPr>
          <w:rFonts w:ascii="仿宋" w:eastAsia="仿宋" w:hAnsi="仿宋" w:hint="eastAsia"/>
          <w:sz w:val="32"/>
          <w:szCs w:val="32"/>
        </w:rPr>
        <w:t>万元，占</w:t>
      </w:r>
      <w:r w:rsidRPr="00CB016A">
        <w:rPr>
          <w:rFonts w:ascii="仿宋" w:eastAsia="仿宋" w:hAnsi="仿宋"/>
          <w:sz w:val="32"/>
          <w:szCs w:val="32"/>
        </w:rPr>
        <w:t>7.14%</w:t>
      </w:r>
      <w:r w:rsidRPr="00CB016A">
        <w:rPr>
          <w:rFonts w:ascii="仿宋" w:eastAsia="仿宋" w:hAnsi="仿宋" w:hint="eastAsia"/>
          <w:sz w:val="32"/>
          <w:szCs w:val="32"/>
        </w:rPr>
        <w:t>；其他法院支出</w:t>
      </w:r>
      <w:r w:rsidRPr="00CB016A">
        <w:rPr>
          <w:rFonts w:ascii="仿宋" w:eastAsia="仿宋" w:hAnsi="仿宋"/>
          <w:sz w:val="32"/>
          <w:szCs w:val="32"/>
        </w:rPr>
        <w:t>614</w:t>
      </w:r>
      <w:r w:rsidRPr="00CB016A">
        <w:rPr>
          <w:rFonts w:ascii="仿宋" w:eastAsia="仿宋" w:hAnsi="仿宋" w:hint="eastAsia"/>
          <w:sz w:val="32"/>
          <w:szCs w:val="32"/>
        </w:rPr>
        <w:t>万元，占</w:t>
      </w:r>
      <w:r w:rsidRPr="00CB016A">
        <w:rPr>
          <w:rFonts w:ascii="仿宋" w:eastAsia="仿宋" w:hAnsi="仿宋"/>
          <w:sz w:val="32"/>
          <w:szCs w:val="32"/>
        </w:rPr>
        <w:t>14.6%</w:t>
      </w:r>
      <w:r w:rsidRPr="00CB016A">
        <w:rPr>
          <w:rFonts w:ascii="仿宋" w:eastAsia="仿宋" w:hAnsi="仿宋" w:hint="eastAsia"/>
          <w:sz w:val="32"/>
          <w:szCs w:val="32"/>
        </w:rPr>
        <w:t>；住房公积金支出</w:t>
      </w:r>
      <w:r w:rsidRPr="00CB016A">
        <w:rPr>
          <w:rFonts w:ascii="仿宋" w:eastAsia="仿宋" w:hAnsi="仿宋"/>
          <w:sz w:val="32"/>
          <w:szCs w:val="32"/>
        </w:rPr>
        <w:t>90.01</w:t>
      </w:r>
      <w:r w:rsidRPr="00CB016A">
        <w:rPr>
          <w:rFonts w:ascii="仿宋" w:eastAsia="仿宋" w:hAnsi="仿宋" w:hint="eastAsia"/>
          <w:sz w:val="32"/>
          <w:szCs w:val="32"/>
        </w:rPr>
        <w:t>万元，占</w:t>
      </w:r>
      <w:r w:rsidRPr="00CB016A">
        <w:rPr>
          <w:rFonts w:ascii="仿宋" w:eastAsia="仿宋" w:hAnsi="仿宋"/>
          <w:sz w:val="32"/>
          <w:szCs w:val="32"/>
        </w:rPr>
        <w:t>2.14%</w:t>
      </w:r>
      <w:r w:rsidRPr="00CB016A">
        <w:rPr>
          <w:rFonts w:ascii="仿宋" w:eastAsia="仿宋" w:hAnsi="仿宋" w:hint="eastAsia"/>
          <w:sz w:val="32"/>
          <w:szCs w:val="32"/>
        </w:rPr>
        <w:t>。</w:t>
      </w:r>
    </w:p>
    <w:p w:rsidR="00DD5D4A" w:rsidRPr="00CF3623" w:rsidRDefault="00DD5D4A" w:rsidP="00167920">
      <w:pPr>
        <w:snapToGrid w:val="0"/>
        <w:spacing w:line="560" w:lineRule="exact"/>
        <w:ind w:firstLineChars="200" w:firstLine="640"/>
        <w:rPr>
          <w:rFonts w:ascii="黑体" w:eastAsia="黑体" w:hAnsi="黑体"/>
          <w:sz w:val="32"/>
          <w:szCs w:val="32"/>
        </w:rPr>
      </w:pPr>
      <w:r w:rsidRPr="00CF3623">
        <w:rPr>
          <w:rFonts w:ascii="黑体" w:eastAsia="黑体" w:hAnsi="黑体" w:hint="eastAsia"/>
          <w:sz w:val="32"/>
          <w:szCs w:val="32"/>
        </w:rPr>
        <w:t>四、</w:t>
      </w:r>
      <w:r w:rsidRPr="00CF3623">
        <w:rPr>
          <w:rFonts w:ascii="黑体" w:eastAsia="黑体" w:hAnsi="黑体"/>
          <w:sz w:val="32"/>
          <w:szCs w:val="32"/>
        </w:rPr>
        <w:t>2014</w:t>
      </w:r>
      <w:r w:rsidRPr="00CF3623">
        <w:rPr>
          <w:rFonts w:ascii="黑体" w:eastAsia="黑体" w:hAnsi="黑体" w:hint="eastAsia"/>
          <w:sz w:val="32"/>
          <w:szCs w:val="32"/>
        </w:rPr>
        <w:t>年“三公”经费决算情况</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2014</w:t>
      </w:r>
      <w:r w:rsidRPr="00CB016A">
        <w:rPr>
          <w:rFonts w:ascii="仿宋" w:eastAsia="仿宋" w:hAnsi="仿宋" w:hint="eastAsia"/>
          <w:sz w:val="32"/>
          <w:szCs w:val="32"/>
        </w:rPr>
        <w:t>年度一般公共预算财政拨款“三公”经费支出决算中，因公出国（境）费用支出决算</w:t>
      </w:r>
      <w:r w:rsidRPr="00CB016A">
        <w:rPr>
          <w:rFonts w:ascii="仿宋" w:eastAsia="仿宋" w:hAnsi="仿宋"/>
          <w:sz w:val="32"/>
          <w:szCs w:val="32"/>
        </w:rPr>
        <w:t>0</w:t>
      </w:r>
      <w:r w:rsidRPr="00CB016A">
        <w:rPr>
          <w:rFonts w:ascii="仿宋" w:eastAsia="仿宋" w:hAnsi="仿宋" w:hint="eastAsia"/>
          <w:sz w:val="32"/>
          <w:szCs w:val="32"/>
        </w:rPr>
        <w:t>万元，占</w:t>
      </w:r>
      <w:r w:rsidRPr="00CB016A">
        <w:rPr>
          <w:rFonts w:ascii="仿宋" w:eastAsia="仿宋" w:hAnsi="仿宋"/>
          <w:sz w:val="32"/>
          <w:szCs w:val="32"/>
        </w:rPr>
        <w:t>0%</w:t>
      </w:r>
      <w:r w:rsidRPr="00CB016A">
        <w:rPr>
          <w:rFonts w:ascii="仿宋" w:eastAsia="仿宋" w:hAnsi="仿宋" w:hint="eastAsia"/>
          <w:sz w:val="32"/>
          <w:szCs w:val="32"/>
        </w:rPr>
        <w:t>，与</w:t>
      </w:r>
      <w:r w:rsidRPr="00CB016A">
        <w:rPr>
          <w:rFonts w:ascii="仿宋" w:eastAsia="仿宋" w:hAnsi="仿宋"/>
          <w:sz w:val="32"/>
          <w:szCs w:val="32"/>
        </w:rPr>
        <w:t>2013</w:t>
      </w:r>
      <w:r w:rsidRPr="00CB016A">
        <w:rPr>
          <w:rFonts w:ascii="仿宋" w:eastAsia="仿宋" w:hAnsi="仿宋" w:hint="eastAsia"/>
          <w:sz w:val="32"/>
          <w:szCs w:val="32"/>
        </w:rPr>
        <w:t>年相比，增长（或下降）</w:t>
      </w:r>
      <w:r w:rsidRPr="00CB016A">
        <w:rPr>
          <w:rFonts w:ascii="仿宋" w:eastAsia="仿宋" w:hAnsi="仿宋"/>
          <w:sz w:val="32"/>
          <w:szCs w:val="32"/>
        </w:rPr>
        <w:t>0%</w:t>
      </w:r>
      <w:r w:rsidRPr="00CB016A">
        <w:rPr>
          <w:rFonts w:ascii="仿宋" w:eastAsia="仿宋" w:hAnsi="仿宋" w:hint="eastAsia"/>
          <w:sz w:val="32"/>
          <w:szCs w:val="32"/>
        </w:rPr>
        <w:t>，原因是</w:t>
      </w:r>
      <w:r w:rsidRPr="00CB016A">
        <w:rPr>
          <w:rFonts w:ascii="仿宋" w:eastAsia="仿宋" w:hAnsi="仿宋"/>
          <w:sz w:val="32"/>
          <w:szCs w:val="32"/>
        </w:rPr>
        <w:t>2013</w:t>
      </w:r>
      <w:r w:rsidRPr="00CB016A">
        <w:rPr>
          <w:rFonts w:ascii="仿宋" w:eastAsia="仿宋" w:hAnsi="仿宋" w:hint="eastAsia"/>
          <w:sz w:val="32"/>
          <w:szCs w:val="32"/>
        </w:rPr>
        <w:t>年度也没有因公出国（境）费用发生；公务用车购置及运行费支出决算</w:t>
      </w:r>
      <w:r w:rsidRPr="00CB016A">
        <w:rPr>
          <w:rFonts w:ascii="仿宋" w:eastAsia="仿宋" w:hAnsi="仿宋"/>
          <w:sz w:val="32"/>
          <w:szCs w:val="32"/>
        </w:rPr>
        <w:t>67.6</w:t>
      </w:r>
      <w:r w:rsidRPr="00CB016A">
        <w:rPr>
          <w:rFonts w:ascii="仿宋" w:eastAsia="仿宋" w:hAnsi="仿宋" w:hint="eastAsia"/>
          <w:sz w:val="32"/>
          <w:szCs w:val="32"/>
        </w:rPr>
        <w:t>万元，占</w:t>
      </w:r>
      <w:r w:rsidRPr="00CB016A">
        <w:rPr>
          <w:rFonts w:ascii="仿宋" w:eastAsia="仿宋" w:hAnsi="仿宋"/>
          <w:sz w:val="32"/>
          <w:szCs w:val="32"/>
        </w:rPr>
        <w:t>29.72%</w:t>
      </w:r>
      <w:r w:rsidRPr="00CB016A">
        <w:rPr>
          <w:rFonts w:ascii="仿宋" w:eastAsia="仿宋" w:hAnsi="仿宋" w:hint="eastAsia"/>
          <w:sz w:val="32"/>
          <w:szCs w:val="32"/>
        </w:rPr>
        <w:t>，与</w:t>
      </w:r>
      <w:r w:rsidRPr="00CB016A">
        <w:rPr>
          <w:rFonts w:ascii="仿宋" w:eastAsia="仿宋" w:hAnsi="仿宋"/>
          <w:sz w:val="32"/>
          <w:szCs w:val="32"/>
        </w:rPr>
        <w:t>2013</w:t>
      </w:r>
      <w:r w:rsidRPr="00CB016A">
        <w:rPr>
          <w:rFonts w:ascii="仿宋" w:eastAsia="仿宋" w:hAnsi="仿宋" w:hint="eastAsia"/>
          <w:sz w:val="32"/>
          <w:szCs w:val="32"/>
        </w:rPr>
        <w:t>年相比，下降</w:t>
      </w:r>
      <w:r w:rsidRPr="00CB016A">
        <w:rPr>
          <w:rFonts w:ascii="仿宋" w:eastAsia="仿宋" w:hAnsi="仿宋"/>
          <w:sz w:val="32"/>
          <w:szCs w:val="32"/>
        </w:rPr>
        <w:t>63.73%</w:t>
      </w:r>
      <w:r w:rsidRPr="00CB016A">
        <w:rPr>
          <w:rFonts w:ascii="仿宋" w:eastAsia="仿宋" w:hAnsi="仿宋" w:hint="eastAsia"/>
          <w:sz w:val="32"/>
          <w:szCs w:val="32"/>
        </w:rPr>
        <w:t>，主要原因是</w:t>
      </w:r>
      <w:r w:rsidRPr="00CB016A">
        <w:rPr>
          <w:rFonts w:ascii="仿宋" w:eastAsia="仿宋" w:hAnsi="仿宋"/>
          <w:sz w:val="32"/>
          <w:szCs w:val="32"/>
        </w:rPr>
        <w:t>2014</w:t>
      </w:r>
      <w:r w:rsidRPr="00CB016A">
        <w:rPr>
          <w:rFonts w:ascii="仿宋" w:eastAsia="仿宋" w:hAnsi="仿宋" w:hint="eastAsia"/>
          <w:sz w:val="32"/>
          <w:szCs w:val="32"/>
        </w:rPr>
        <w:t>年无公车购置费用，公车运行维护费也下降了</w:t>
      </w:r>
      <w:r w:rsidRPr="00CB016A">
        <w:rPr>
          <w:rFonts w:ascii="仿宋" w:eastAsia="仿宋" w:hAnsi="仿宋"/>
          <w:sz w:val="32"/>
          <w:szCs w:val="32"/>
        </w:rPr>
        <w:t>47.34</w:t>
      </w:r>
      <w:r w:rsidRPr="00CB016A">
        <w:rPr>
          <w:rFonts w:ascii="仿宋" w:eastAsia="仿宋" w:hAnsi="仿宋" w:hint="eastAsia"/>
          <w:sz w:val="32"/>
          <w:szCs w:val="32"/>
        </w:rPr>
        <w:t>万元；公务接待费支出决算</w:t>
      </w:r>
      <w:r w:rsidRPr="00CB016A">
        <w:rPr>
          <w:rFonts w:ascii="仿宋" w:eastAsia="仿宋" w:hAnsi="仿宋"/>
          <w:sz w:val="32"/>
          <w:szCs w:val="32"/>
        </w:rPr>
        <w:t>159.83</w:t>
      </w:r>
      <w:r w:rsidRPr="00CB016A">
        <w:rPr>
          <w:rFonts w:ascii="仿宋" w:eastAsia="仿宋" w:hAnsi="仿宋" w:hint="eastAsia"/>
          <w:sz w:val="32"/>
          <w:szCs w:val="32"/>
        </w:rPr>
        <w:t>万元，占</w:t>
      </w:r>
      <w:r w:rsidRPr="00CB016A">
        <w:rPr>
          <w:rFonts w:ascii="仿宋" w:eastAsia="仿宋" w:hAnsi="仿宋"/>
          <w:sz w:val="32"/>
          <w:szCs w:val="32"/>
        </w:rPr>
        <w:t>70.28%</w:t>
      </w:r>
      <w:r w:rsidRPr="00CB016A">
        <w:rPr>
          <w:rFonts w:ascii="仿宋" w:eastAsia="仿宋" w:hAnsi="仿宋" w:hint="eastAsia"/>
          <w:sz w:val="32"/>
          <w:szCs w:val="32"/>
        </w:rPr>
        <w:t>，下降</w:t>
      </w:r>
      <w:r w:rsidRPr="00CB016A">
        <w:rPr>
          <w:rFonts w:ascii="仿宋" w:eastAsia="仿宋" w:hAnsi="仿宋"/>
          <w:sz w:val="32"/>
          <w:szCs w:val="32"/>
        </w:rPr>
        <w:t>7.59%</w:t>
      </w:r>
      <w:r w:rsidRPr="00CB016A">
        <w:rPr>
          <w:rFonts w:ascii="仿宋" w:eastAsia="仿宋" w:hAnsi="仿宋" w:hint="eastAsia"/>
          <w:sz w:val="32"/>
          <w:szCs w:val="32"/>
        </w:rPr>
        <w:t>，主要原因是单位积极响应中央八项定，厉行节约降低接待费用。具体情况如下：</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1.</w:t>
      </w:r>
      <w:r w:rsidRPr="00CB016A">
        <w:rPr>
          <w:rFonts w:ascii="仿宋" w:eastAsia="仿宋" w:hAnsi="仿宋" w:hint="eastAsia"/>
          <w:sz w:val="32"/>
          <w:szCs w:val="32"/>
        </w:rPr>
        <w:t>因公出国（境）支出</w:t>
      </w:r>
      <w:r w:rsidRPr="00CB016A">
        <w:rPr>
          <w:rFonts w:ascii="仿宋" w:eastAsia="仿宋" w:hAnsi="仿宋"/>
          <w:sz w:val="32"/>
          <w:szCs w:val="32"/>
        </w:rPr>
        <w:t>0</w:t>
      </w:r>
      <w:r w:rsidRPr="00CB016A">
        <w:rPr>
          <w:rFonts w:ascii="仿宋" w:eastAsia="仿宋" w:hAnsi="仿宋" w:hint="eastAsia"/>
          <w:sz w:val="32"/>
          <w:szCs w:val="32"/>
        </w:rPr>
        <w:t>万元。全年因公出国（境）本</w:t>
      </w:r>
      <w:r w:rsidRPr="00CB016A">
        <w:rPr>
          <w:rFonts w:ascii="仿宋" w:eastAsia="仿宋" w:hAnsi="仿宋" w:hint="eastAsia"/>
          <w:sz w:val="32"/>
          <w:szCs w:val="32"/>
        </w:rPr>
        <w:lastRenderedPageBreak/>
        <w:t>单位组团及参加其他单位团组共计</w:t>
      </w:r>
      <w:r w:rsidRPr="00CB016A">
        <w:rPr>
          <w:rFonts w:ascii="仿宋" w:eastAsia="仿宋" w:hAnsi="仿宋"/>
          <w:sz w:val="32"/>
          <w:szCs w:val="32"/>
        </w:rPr>
        <w:t>0</w:t>
      </w:r>
      <w:r w:rsidRPr="00CB016A">
        <w:rPr>
          <w:rFonts w:ascii="仿宋" w:eastAsia="仿宋" w:hAnsi="仿宋" w:hint="eastAsia"/>
          <w:sz w:val="32"/>
          <w:szCs w:val="32"/>
        </w:rPr>
        <w:t>个，累计</w:t>
      </w:r>
      <w:r w:rsidRPr="00CB016A">
        <w:rPr>
          <w:rFonts w:ascii="仿宋" w:eastAsia="仿宋" w:hAnsi="仿宋"/>
          <w:sz w:val="32"/>
          <w:szCs w:val="32"/>
        </w:rPr>
        <w:t>0</w:t>
      </w:r>
      <w:r w:rsidRPr="00CB016A">
        <w:rPr>
          <w:rFonts w:ascii="仿宋" w:eastAsia="仿宋" w:hAnsi="仿宋" w:hint="eastAsia"/>
          <w:sz w:val="32"/>
          <w:szCs w:val="32"/>
        </w:rPr>
        <w:t>人次。</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2.</w:t>
      </w:r>
      <w:r w:rsidRPr="00CB016A">
        <w:rPr>
          <w:rFonts w:ascii="仿宋" w:eastAsia="仿宋" w:hAnsi="仿宋" w:hint="eastAsia"/>
          <w:sz w:val="32"/>
          <w:szCs w:val="32"/>
        </w:rPr>
        <w:t>公务用车购置及运行费支出</w:t>
      </w:r>
      <w:r w:rsidRPr="00CB016A">
        <w:rPr>
          <w:rFonts w:ascii="仿宋" w:eastAsia="仿宋" w:hAnsi="仿宋"/>
          <w:sz w:val="32"/>
          <w:szCs w:val="32"/>
        </w:rPr>
        <w:t>67.6</w:t>
      </w:r>
      <w:r w:rsidRPr="00CB016A">
        <w:rPr>
          <w:rFonts w:ascii="仿宋" w:eastAsia="仿宋" w:hAnsi="仿宋" w:hint="eastAsia"/>
          <w:sz w:val="32"/>
          <w:szCs w:val="32"/>
        </w:rPr>
        <w:t>万元。其中：公务用车购置支出</w:t>
      </w:r>
      <w:r w:rsidRPr="00CB016A">
        <w:rPr>
          <w:rFonts w:ascii="仿宋" w:eastAsia="仿宋" w:hAnsi="仿宋"/>
          <w:sz w:val="32"/>
          <w:szCs w:val="32"/>
        </w:rPr>
        <w:t>0</w:t>
      </w:r>
      <w:r w:rsidRPr="00CB016A">
        <w:rPr>
          <w:rFonts w:ascii="仿宋" w:eastAsia="仿宋" w:hAnsi="仿宋" w:hint="eastAsia"/>
          <w:sz w:val="32"/>
          <w:szCs w:val="32"/>
        </w:rPr>
        <w:t>万元。公务用车运行支出</w:t>
      </w:r>
      <w:r w:rsidRPr="00CB016A">
        <w:rPr>
          <w:rFonts w:ascii="仿宋" w:eastAsia="仿宋" w:hAnsi="仿宋"/>
          <w:sz w:val="32"/>
          <w:szCs w:val="32"/>
        </w:rPr>
        <w:t>67.6</w:t>
      </w:r>
      <w:r w:rsidRPr="00CB016A">
        <w:rPr>
          <w:rFonts w:ascii="仿宋" w:eastAsia="仿宋" w:hAnsi="仿宋" w:hint="eastAsia"/>
          <w:sz w:val="32"/>
          <w:szCs w:val="32"/>
        </w:rPr>
        <w:t>万元。</w:t>
      </w:r>
      <w:r w:rsidRPr="00CB016A">
        <w:rPr>
          <w:rFonts w:ascii="仿宋" w:eastAsia="仿宋" w:hAnsi="仿宋"/>
          <w:sz w:val="32"/>
          <w:szCs w:val="32"/>
        </w:rPr>
        <w:t>2014</w:t>
      </w:r>
      <w:r w:rsidRPr="00CB016A">
        <w:rPr>
          <w:rFonts w:ascii="仿宋" w:eastAsia="仿宋" w:hAnsi="仿宋" w:hint="eastAsia"/>
          <w:sz w:val="32"/>
          <w:szCs w:val="32"/>
        </w:rPr>
        <w:t>年，共购置车辆</w:t>
      </w:r>
      <w:r w:rsidRPr="00CB016A">
        <w:rPr>
          <w:rFonts w:ascii="仿宋" w:eastAsia="仿宋" w:hAnsi="仿宋"/>
          <w:sz w:val="32"/>
          <w:szCs w:val="32"/>
        </w:rPr>
        <w:t>0</w:t>
      </w:r>
      <w:r w:rsidRPr="00CB016A">
        <w:rPr>
          <w:rFonts w:ascii="仿宋" w:eastAsia="仿宋" w:hAnsi="仿宋" w:hint="eastAsia"/>
          <w:sz w:val="32"/>
          <w:szCs w:val="32"/>
        </w:rPr>
        <w:t>辆，一般公共财政拨款开支运行的公务用车保有量为</w:t>
      </w:r>
      <w:r w:rsidRPr="00CB016A">
        <w:rPr>
          <w:rFonts w:ascii="仿宋" w:eastAsia="仿宋" w:hAnsi="仿宋"/>
          <w:sz w:val="32"/>
          <w:szCs w:val="32"/>
        </w:rPr>
        <w:t>9</w:t>
      </w:r>
      <w:r w:rsidRPr="00CB016A">
        <w:rPr>
          <w:rFonts w:ascii="仿宋" w:eastAsia="仿宋" w:hAnsi="仿宋" w:hint="eastAsia"/>
          <w:sz w:val="32"/>
          <w:szCs w:val="32"/>
        </w:rPr>
        <w:t>辆。</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3.</w:t>
      </w:r>
      <w:r w:rsidRPr="00CB016A">
        <w:rPr>
          <w:rFonts w:ascii="仿宋" w:eastAsia="仿宋" w:hAnsi="仿宋" w:hint="eastAsia"/>
          <w:sz w:val="32"/>
          <w:szCs w:val="32"/>
        </w:rPr>
        <w:t>公务接待费支出</w:t>
      </w:r>
      <w:r w:rsidRPr="00CB016A">
        <w:rPr>
          <w:rFonts w:ascii="仿宋" w:eastAsia="仿宋" w:hAnsi="仿宋"/>
          <w:sz w:val="32"/>
          <w:szCs w:val="32"/>
        </w:rPr>
        <w:t>159.83</w:t>
      </w:r>
      <w:r w:rsidRPr="00CB016A">
        <w:rPr>
          <w:rFonts w:ascii="仿宋" w:eastAsia="仿宋" w:hAnsi="仿宋" w:hint="eastAsia"/>
          <w:sz w:val="32"/>
          <w:szCs w:val="32"/>
        </w:rPr>
        <w:t>万元。</w:t>
      </w:r>
      <w:r w:rsidRPr="00CB016A">
        <w:rPr>
          <w:rFonts w:ascii="仿宋" w:eastAsia="仿宋" w:hAnsi="仿宋"/>
          <w:sz w:val="32"/>
          <w:szCs w:val="32"/>
        </w:rPr>
        <w:t>2014</w:t>
      </w:r>
      <w:r w:rsidRPr="00CB016A">
        <w:rPr>
          <w:rFonts w:ascii="仿宋" w:eastAsia="仿宋" w:hAnsi="仿宋" w:hint="eastAsia"/>
          <w:sz w:val="32"/>
          <w:szCs w:val="32"/>
        </w:rPr>
        <w:t>年度共接待来访团组</w:t>
      </w:r>
      <w:r w:rsidRPr="00CB016A">
        <w:rPr>
          <w:rFonts w:ascii="仿宋" w:eastAsia="仿宋" w:hAnsi="仿宋"/>
          <w:sz w:val="32"/>
          <w:szCs w:val="32"/>
        </w:rPr>
        <w:t>208</w:t>
      </w:r>
      <w:r w:rsidRPr="00CB016A">
        <w:rPr>
          <w:rFonts w:ascii="仿宋" w:eastAsia="仿宋" w:hAnsi="仿宋" w:hint="eastAsia"/>
          <w:sz w:val="32"/>
          <w:szCs w:val="32"/>
        </w:rPr>
        <w:t>个，来宾</w:t>
      </w:r>
      <w:r w:rsidRPr="00CB016A">
        <w:rPr>
          <w:rFonts w:ascii="仿宋" w:eastAsia="仿宋" w:hAnsi="仿宋"/>
          <w:sz w:val="32"/>
          <w:szCs w:val="32"/>
        </w:rPr>
        <w:t>1343</w:t>
      </w:r>
      <w:r w:rsidRPr="00CB016A">
        <w:rPr>
          <w:rFonts w:ascii="仿宋" w:eastAsia="仿宋" w:hAnsi="仿宋" w:hint="eastAsia"/>
          <w:sz w:val="32"/>
          <w:szCs w:val="32"/>
        </w:rPr>
        <w:t>人。</w:t>
      </w:r>
      <w:r w:rsidRPr="00CB016A">
        <w:rPr>
          <w:rFonts w:ascii="仿宋" w:eastAsia="仿宋" w:hAnsi="仿宋"/>
          <w:sz w:val="32"/>
          <w:szCs w:val="32"/>
        </w:rPr>
        <w:t xml:space="preserve"> </w:t>
      </w:r>
    </w:p>
    <w:p w:rsidR="00DD5D4A" w:rsidRPr="00CB016A" w:rsidRDefault="00DD5D4A" w:rsidP="00167920">
      <w:pPr>
        <w:snapToGrid w:val="0"/>
        <w:spacing w:line="560" w:lineRule="exact"/>
        <w:rPr>
          <w:rFonts w:ascii="仿宋" w:eastAsia="仿宋" w:hAnsi="仿宋"/>
          <w:sz w:val="32"/>
          <w:szCs w:val="32"/>
        </w:rPr>
      </w:pPr>
      <w:r w:rsidRPr="00CB016A">
        <w:rPr>
          <w:rFonts w:ascii="仿宋" w:eastAsia="仿宋" w:hAnsi="仿宋" w:hint="eastAsia"/>
          <w:sz w:val="32"/>
          <w:szCs w:val="32"/>
        </w:rPr>
        <w:t>附表：</w:t>
      </w:r>
      <w:r w:rsidRPr="00CB016A">
        <w:rPr>
          <w:rFonts w:ascii="仿宋" w:eastAsia="仿宋" w:hAnsi="仿宋"/>
          <w:sz w:val="32"/>
          <w:szCs w:val="32"/>
        </w:rPr>
        <w:t>1</w:t>
      </w:r>
      <w:r w:rsidRPr="00CB016A">
        <w:rPr>
          <w:rFonts w:ascii="仿宋" w:eastAsia="仿宋" w:hAnsi="仿宋" w:hint="eastAsia"/>
          <w:sz w:val="32"/>
          <w:szCs w:val="32"/>
        </w:rPr>
        <w:t>、</w:t>
      </w:r>
      <w:r w:rsidRPr="00CB016A">
        <w:rPr>
          <w:rFonts w:ascii="仿宋" w:eastAsia="仿宋" w:hAnsi="仿宋"/>
          <w:sz w:val="32"/>
          <w:szCs w:val="32"/>
        </w:rPr>
        <w:t>2014</w:t>
      </w:r>
      <w:r w:rsidRPr="00CB016A">
        <w:rPr>
          <w:rFonts w:ascii="仿宋" w:eastAsia="仿宋" w:hAnsi="仿宋" w:hint="eastAsia"/>
          <w:sz w:val="32"/>
          <w:szCs w:val="32"/>
        </w:rPr>
        <w:t>年部门决算收支总表</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 xml:space="preserve">  2</w:t>
      </w:r>
      <w:r w:rsidRPr="00CB016A">
        <w:rPr>
          <w:rFonts w:ascii="仿宋" w:eastAsia="仿宋" w:hAnsi="仿宋" w:hint="eastAsia"/>
          <w:sz w:val="32"/>
          <w:szCs w:val="32"/>
        </w:rPr>
        <w:t>、</w:t>
      </w:r>
      <w:r w:rsidRPr="00CB016A">
        <w:rPr>
          <w:rFonts w:ascii="仿宋" w:eastAsia="仿宋" w:hAnsi="仿宋"/>
          <w:sz w:val="32"/>
          <w:szCs w:val="32"/>
        </w:rPr>
        <w:t>2014</w:t>
      </w:r>
      <w:r w:rsidRPr="00CB016A">
        <w:rPr>
          <w:rFonts w:ascii="仿宋" w:eastAsia="仿宋" w:hAnsi="仿宋" w:hint="eastAsia"/>
          <w:sz w:val="32"/>
          <w:szCs w:val="32"/>
        </w:rPr>
        <w:t>年财政拨款收入支出决算总表</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 xml:space="preserve">  3</w:t>
      </w:r>
      <w:r w:rsidRPr="00CB016A">
        <w:rPr>
          <w:rFonts w:ascii="仿宋" w:eastAsia="仿宋" w:hAnsi="仿宋" w:hint="eastAsia"/>
          <w:sz w:val="32"/>
          <w:szCs w:val="32"/>
        </w:rPr>
        <w:t>、</w:t>
      </w:r>
      <w:r w:rsidRPr="00CB016A">
        <w:rPr>
          <w:rFonts w:ascii="仿宋" w:eastAsia="仿宋" w:hAnsi="仿宋"/>
          <w:sz w:val="32"/>
          <w:szCs w:val="32"/>
        </w:rPr>
        <w:t>2014</w:t>
      </w:r>
      <w:r w:rsidRPr="00CB016A">
        <w:rPr>
          <w:rFonts w:ascii="仿宋" w:eastAsia="仿宋" w:hAnsi="仿宋" w:hint="eastAsia"/>
          <w:sz w:val="32"/>
          <w:szCs w:val="32"/>
        </w:rPr>
        <w:t>年一般公共预算财政拨款支出决算表</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 xml:space="preserve">  4</w:t>
      </w:r>
      <w:r w:rsidRPr="00CB016A">
        <w:rPr>
          <w:rFonts w:ascii="仿宋" w:eastAsia="仿宋" w:hAnsi="仿宋" w:hint="eastAsia"/>
          <w:sz w:val="32"/>
          <w:szCs w:val="32"/>
        </w:rPr>
        <w:t>、</w:t>
      </w:r>
      <w:r w:rsidRPr="00CB016A">
        <w:rPr>
          <w:rFonts w:ascii="仿宋" w:eastAsia="仿宋" w:hAnsi="仿宋"/>
          <w:sz w:val="32"/>
          <w:szCs w:val="32"/>
        </w:rPr>
        <w:t>2014</w:t>
      </w:r>
      <w:r w:rsidRPr="00CB016A">
        <w:rPr>
          <w:rFonts w:ascii="仿宋" w:eastAsia="仿宋" w:hAnsi="仿宋" w:hint="eastAsia"/>
          <w:sz w:val="32"/>
          <w:szCs w:val="32"/>
        </w:rPr>
        <w:t>年一般公共预算财政拨款基本支出决算表</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 xml:space="preserve">  5</w:t>
      </w:r>
      <w:r w:rsidRPr="00CB016A">
        <w:rPr>
          <w:rFonts w:ascii="仿宋" w:eastAsia="仿宋" w:hAnsi="仿宋" w:hint="eastAsia"/>
          <w:sz w:val="32"/>
          <w:szCs w:val="32"/>
        </w:rPr>
        <w:t>、</w:t>
      </w:r>
      <w:r w:rsidRPr="00CB016A">
        <w:rPr>
          <w:rFonts w:ascii="仿宋" w:eastAsia="仿宋" w:hAnsi="仿宋"/>
          <w:sz w:val="32"/>
          <w:szCs w:val="32"/>
        </w:rPr>
        <w:t>2014</w:t>
      </w:r>
      <w:r w:rsidRPr="00CB016A">
        <w:rPr>
          <w:rFonts w:ascii="仿宋" w:eastAsia="仿宋" w:hAnsi="仿宋" w:hint="eastAsia"/>
          <w:sz w:val="32"/>
          <w:szCs w:val="32"/>
        </w:rPr>
        <w:t>年政府性基金预算财政拨款收入支出决算表</w:t>
      </w:r>
    </w:p>
    <w:p w:rsidR="00DD5D4A" w:rsidRPr="00CB016A" w:rsidRDefault="00DD5D4A" w:rsidP="00167920">
      <w:pPr>
        <w:snapToGrid w:val="0"/>
        <w:spacing w:line="560" w:lineRule="exact"/>
        <w:ind w:firstLineChars="200" w:firstLine="640"/>
        <w:rPr>
          <w:rFonts w:ascii="仿宋" w:eastAsia="仿宋" w:hAnsi="仿宋"/>
          <w:sz w:val="32"/>
          <w:szCs w:val="32"/>
        </w:rPr>
      </w:pPr>
      <w:r w:rsidRPr="00CB016A">
        <w:rPr>
          <w:rFonts w:ascii="仿宋" w:eastAsia="仿宋" w:hAnsi="仿宋"/>
          <w:sz w:val="32"/>
          <w:szCs w:val="32"/>
        </w:rPr>
        <w:t xml:space="preserve">  6</w:t>
      </w:r>
      <w:r w:rsidRPr="00CB016A">
        <w:rPr>
          <w:rFonts w:ascii="仿宋" w:eastAsia="仿宋" w:hAnsi="仿宋" w:hint="eastAsia"/>
          <w:sz w:val="32"/>
          <w:szCs w:val="32"/>
        </w:rPr>
        <w:t>、</w:t>
      </w:r>
      <w:r w:rsidRPr="00CB016A">
        <w:rPr>
          <w:rFonts w:ascii="仿宋" w:eastAsia="仿宋" w:hAnsi="仿宋"/>
          <w:sz w:val="32"/>
          <w:szCs w:val="32"/>
        </w:rPr>
        <w:t>2014</w:t>
      </w:r>
      <w:r w:rsidRPr="00CB016A">
        <w:rPr>
          <w:rFonts w:ascii="仿宋" w:eastAsia="仿宋" w:hAnsi="仿宋" w:hint="eastAsia"/>
          <w:sz w:val="32"/>
          <w:szCs w:val="32"/>
        </w:rPr>
        <w:t>年一般公共预算财政拨款“三公”经费支出决算表</w:t>
      </w:r>
    </w:p>
    <w:p w:rsidR="00DD5D4A" w:rsidRPr="00B30653" w:rsidRDefault="00DD5D4A" w:rsidP="00DE2069">
      <w:pPr>
        <w:snapToGrid w:val="0"/>
        <w:spacing w:line="360" w:lineRule="auto"/>
        <w:ind w:firstLineChars="200" w:firstLine="640"/>
        <w:rPr>
          <w:rFonts w:ascii="仿宋_GB2312" w:eastAsia="仿宋_GB2312"/>
          <w:sz w:val="32"/>
          <w:szCs w:val="32"/>
        </w:rPr>
      </w:pPr>
    </w:p>
    <w:p w:rsidR="00DD5D4A" w:rsidRPr="00905D03" w:rsidRDefault="00DD5D4A" w:rsidP="00DE2069">
      <w:pPr>
        <w:ind w:firstLineChars="200" w:firstLine="640"/>
        <w:rPr>
          <w:rFonts w:ascii="仿宋_GB2312" w:eastAsia="仿宋_GB2312" w:hAnsi="仿宋"/>
          <w:sz w:val="32"/>
          <w:szCs w:val="32"/>
        </w:rPr>
      </w:pPr>
    </w:p>
    <w:p w:rsidR="00DD5D4A" w:rsidRPr="00905D03" w:rsidRDefault="00DD5D4A" w:rsidP="00905D03">
      <w:pPr>
        <w:rPr>
          <w:rFonts w:ascii="仿宋_GB2312" w:eastAsia="仿宋_GB2312"/>
          <w:sz w:val="32"/>
          <w:szCs w:val="32"/>
        </w:rPr>
      </w:pPr>
    </w:p>
    <w:p w:rsidR="00DD5D4A" w:rsidRPr="004A7CD0" w:rsidRDefault="00DD5D4A" w:rsidP="00905D03">
      <w:pPr>
        <w:rPr>
          <w:b/>
        </w:rPr>
      </w:pPr>
    </w:p>
    <w:sectPr w:rsidR="00DD5D4A" w:rsidRPr="004A7CD0" w:rsidSect="000058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E34" w:rsidRDefault="00685E34" w:rsidP="000B060A">
      <w:r>
        <w:separator/>
      </w:r>
    </w:p>
  </w:endnote>
  <w:endnote w:type="continuationSeparator" w:id="1">
    <w:p w:rsidR="00685E34" w:rsidRDefault="00685E34" w:rsidP="000B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新宋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E34" w:rsidRDefault="00685E34" w:rsidP="000B060A">
      <w:r>
        <w:separator/>
      </w:r>
    </w:p>
  </w:footnote>
  <w:footnote w:type="continuationSeparator" w:id="1">
    <w:p w:rsidR="00685E34" w:rsidRDefault="00685E34" w:rsidP="000B0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7B0"/>
    <w:multiLevelType w:val="hybridMultilevel"/>
    <w:tmpl w:val="7CAE8B3E"/>
    <w:lvl w:ilvl="0" w:tplc="C7081C4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27D5586C"/>
    <w:multiLevelType w:val="hybridMultilevel"/>
    <w:tmpl w:val="6CAC6610"/>
    <w:lvl w:ilvl="0" w:tplc="1198335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D3A150F"/>
    <w:multiLevelType w:val="hybridMultilevel"/>
    <w:tmpl w:val="9A9E1DFE"/>
    <w:lvl w:ilvl="0" w:tplc="591ACE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627290F"/>
    <w:multiLevelType w:val="hybridMultilevel"/>
    <w:tmpl w:val="82E06B72"/>
    <w:lvl w:ilvl="0" w:tplc="E4F07470">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60A"/>
    <w:rsid w:val="0000587A"/>
    <w:rsid w:val="000503D9"/>
    <w:rsid w:val="0009204E"/>
    <w:rsid w:val="00092C4B"/>
    <w:rsid w:val="000B060A"/>
    <w:rsid w:val="000B214C"/>
    <w:rsid w:val="000B4C9A"/>
    <w:rsid w:val="0014751F"/>
    <w:rsid w:val="00167920"/>
    <w:rsid w:val="001871D3"/>
    <w:rsid w:val="00197F1F"/>
    <w:rsid w:val="001D3066"/>
    <w:rsid w:val="002174B5"/>
    <w:rsid w:val="002C74AB"/>
    <w:rsid w:val="002E1038"/>
    <w:rsid w:val="003E52C9"/>
    <w:rsid w:val="004A7CD0"/>
    <w:rsid w:val="004D5F40"/>
    <w:rsid w:val="00586094"/>
    <w:rsid w:val="005E0AE3"/>
    <w:rsid w:val="006126CD"/>
    <w:rsid w:val="00612C64"/>
    <w:rsid w:val="00685E34"/>
    <w:rsid w:val="006A7DCC"/>
    <w:rsid w:val="007150E6"/>
    <w:rsid w:val="00745913"/>
    <w:rsid w:val="00750C1F"/>
    <w:rsid w:val="007733F9"/>
    <w:rsid w:val="007926A9"/>
    <w:rsid w:val="00827D3F"/>
    <w:rsid w:val="0083720C"/>
    <w:rsid w:val="008938FD"/>
    <w:rsid w:val="008E1F2E"/>
    <w:rsid w:val="008F2D56"/>
    <w:rsid w:val="00905D03"/>
    <w:rsid w:val="00933D78"/>
    <w:rsid w:val="009D1C65"/>
    <w:rsid w:val="00A01048"/>
    <w:rsid w:val="00A8161A"/>
    <w:rsid w:val="00A86F60"/>
    <w:rsid w:val="00AD2F79"/>
    <w:rsid w:val="00AE0548"/>
    <w:rsid w:val="00B12438"/>
    <w:rsid w:val="00B30653"/>
    <w:rsid w:val="00B744B5"/>
    <w:rsid w:val="00B900ED"/>
    <w:rsid w:val="00BA3C87"/>
    <w:rsid w:val="00BB7986"/>
    <w:rsid w:val="00BE6F3F"/>
    <w:rsid w:val="00C15E6F"/>
    <w:rsid w:val="00C34BF0"/>
    <w:rsid w:val="00C9522C"/>
    <w:rsid w:val="00CB016A"/>
    <w:rsid w:val="00CB555F"/>
    <w:rsid w:val="00CC2174"/>
    <w:rsid w:val="00CF3623"/>
    <w:rsid w:val="00D168CA"/>
    <w:rsid w:val="00D24EDC"/>
    <w:rsid w:val="00D34205"/>
    <w:rsid w:val="00D96EC3"/>
    <w:rsid w:val="00DA38C4"/>
    <w:rsid w:val="00DD5D4A"/>
    <w:rsid w:val="00DE2069"/>
    <w:rsid w:val="00E22E09"/>
    <w:rsid w:val="00E80756"/>
    <w:rsid w:val="00F533E6"/>
    <w:rsid w:val="00F7345A"/>
    <w:rsid w:val="00FC21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0A"/>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B0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B060A"/>
    <w:rPr>
      <w:rFonts w:cs="Times New Roman"/>
      <w:sz w:val="18"/>
      <w:szCs w:val="18"/>
    </w:rPr>
  </w:style>
  <w:style w:type="paragraph" w:styleId="a4">
    <w:name w:val="footer"/>
    <w:basedOn w:val="a"/>
    <w:link w:val="Char0"/>
    <w:uiPriority w:val="99"/>
    <w:semiHidden/>
    <w:rsid w:val="000B060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B060A"/>
    <w:rPr>
      <w:rFonts w:cs="Times New Roman"/>
      <w:sz w:val="18"/>
      <w:szCs w:val="18"/>
    </w:rPr>
  </w:style>
  <w:style w:type="paragraph" w:styleId="a5">
    <w:name w:val="List Paragraph"/>
    <w:basedOn w:val="a"/>
    <w:uiPriority w:val="99"/>
    <w:qFormat/>
    <w:rsid w:val="00C15E6F"/>
    <w:pPr>
      <w:ind w:firstLineChars="200" w:firstLine="420"/>
    </w:pPr>
  </w:style>
  <w:style w:type="paragraph" w:customStyle="1" w:styleId="Default">
    <w:name w:val="Default"/>
    <w:rsid w:val="00DE2069"/>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divs>
    <w:div w:id="1595624690">
      <w:marLeft w:val="0"/>
      <w:marRight w:val="0"/>
      <w:marTop w:val="0"/>
      <w:marBottom w:val="0"/>
      <w:divBdr>
        <w:top w:val="none" w:sz="0" w:space="0" w:color="auto"/>
        <w:left w:val="none" w:sz="0" w:space="0" w:color="auto"/>
        <w:bottom w:val="none" w:sz="0" w:space="0" w:color="auto"/>
        <w:right w:val="none" w:sz="0" w:space="0" w:color="auto"/>
      </w:divBdr>
    </w:div>
    <w:div w:id="1595624691">
      <w:marLeft w:val="0"/>
      <w:marRight w:val="0"/>
      <w:marTop w:val="0"/>
      <w:marBottom w:val="0"/>
      <w:divBdr>
        <w:top w:val="none" w:sz="0" w:space="0" w:color="auto"/>
        <w:left w:val="none" w:sz="0" w:space="0" w:color="auto"/>
        <w:bottom w:val="none" w:sz="0" w:space="0" w:color="auto"/>
        <w:right w:val="none" w:sz="0" w:space="0" w:color="auto"/>
      </w:divBdr>
    </w:div>
    <w:div w:id="1595624692">
      <w:marLeft w:val="0"/>
      <w:marRight w:val="0"/>
      <w:marTop w:val="0"/>
      <w:marBottom w:val="0"/>
      <w:divBdr>
        <w:top w:val="none" w:sz="0" w:space="0" w:color="auto"/>
        <w:left w:val="none" w:sz="0" w:space="0" w:color="auto"/>
        <w:bottom w:val="none" w:sz="0" w:space="0" w:color="auto"/>
        <w:right w:val="none" w:sz="0" w:space="0" w:color="auto"/>
      </w:divBdr>
    </w:div>
    <w:div w:id="1595624693">
      <w:marLeft w:val="0"/>
      <w:marRight w:val="0"/>
      <w:marTop w:val="0"/>
      <w:marBottom w:val="0"/>
      <w:divBdr>
        <w:top w:val="none" w:sz="0" w:space="0" w:color="auto"/>
        <w:left w:val="none" w:sz="0" w:space="0" w:color="auto"/>
        <w:bottom w:val="none" w:sz="0" w:space="0" w:color="auto"/>
        <w:right w:val="none" w:sz="0" w:space="0" w:color="auto"/>
      </w:divBdr>
    </w:div>
    <w:div w:id="1595624694">
      <w:marLeft w:val="0"/>
      <w:marRight w:val="0"/>
      <w:marTop w:val="0"/>
      <w:marBottom w:val="0"/>
      <w:divBdr>
        <w:top w:val="none" w:sz="0" w:space="0" w:color="auto"/>
        <w:left w:val="none" w:sz="0" w:space="0" w:color="auto"/>
        <w:bottom w:val="none" w:sz="0" w:space="0" w:color="auto"/>
        <w:right w:val="none" w:sz="0" w:space="0" w:color="auto"/>
      </w:divBdr>
    </w:div>
    <w:div w:id="1595624695">
      <w:marLeft w:val="0"/>
      <w:marRight w:val="0"/>
      <w:marTop w:val="0"/>
      <w:marBottom w:val="0"/>
      <w:divBdr>
        <w:top w:val="none" w:sz="0" w:space="0" w:color="auto"/>
        <w:left w:val="none" w:sz="0" w:space="0" w:color="auto"/>
        <w:bottom w:val="none" w:sz="0" w:space="0" w:color="auto"/>
        <w:right w:val="none" w:sz="0" w:space="0" w:color="auto"/>
      </w:divBdr>
    </w:div>
    <w:div w:id="1595624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527</Words>
  <Characters>3006</Characters>
  <Application>Microsoft Office Word</Application>
  <DocSecurity>0</DocSecurity>
  <Lines>25</Lines>
  <Paragraphs>7</Paragraphs>
  <ScaleCrop>false</ScaleCrop>
  <Company>MicroSoft</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扬中市人民法院2014年部门决算</dc:title>
  <dc:subject/>
  <dc:creator>User</dc:creator>
  <cp:keywords/>
  <dc:description/>
  <cp:lastModifiedBy>Microsoft</cp:lastModifiedBy>
  <cp:revision>11</cp:revision>
  <cp:lastPrinted>2016-06-16T02:49:00Z</cp:lastPrinted>
  <dcterms:created xsi:type="dcterms:W3CDTF">2016-06-20T07:13:00Z</dcterms:created>
  <dcterms:modified xsi:type="dcterms:W3CDTF">2016-06-20T09:24:00Z</dcterms:modified>
</cp:coreProperties>
</file>